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8820" w:type="dxa"/>
        <w:jc w:val="center"/>
        <w:tblLook w:val="01E0" w:firstRow="1" w:lastRow="1" w:firstColumn="1" w:lastColumn="1" w:noHBand="0" w:noVBand="0"/>
      </w:tblPr>
      <w:tblGrid>
        <w:gridCol w:w="743"/>
        <w:gridCol w:w="2506"/>
        <w:gridCol w:w="5571"/>
      </w:tblGrid>
      <w:tr w:rsidR="00BD5614" w:rsidTr="00BD5614">
        <w:trPr>
          <w:jc w:val="center"/>
        </w:trPr>
        <w:tc>
          <w:tcPr>
            <w:tcW w:w="743" w:type="dxa"/>
            <w:hideMark/>
          </w:tcPr>
          <w:p w:rsidR="00BD5614" w:rsidRDefault="00BD5614">
            <w:pPr>
              <w:spacing w:before="120" w:after="120" w:line="240" w:lineRule="exact"/>
              <w:jc w:val="both"/>
              <w:rPr>
                <w:rFonts w:ascii="Arial" w:hAnsi="Arial"/>
                <w:b/>
                <w:bCs/>
                <w:sz w:val="26"/>
                <w:szCs w:val="26"/>
                <w:rtl/>
              </w:rPr>
            </w:pPr>
            <w:bookmarkStart w:id="0" w:name="_GoBack"/>
            <w:bookmarkEnd w:id="0"/>
            <w:r>
              <w:rPr>
                <w:rFonts w:ascii="Arial" w:hAnsi="Arial"/>
                <w:b/>
                <w:bCs/>
                <w:sz w:val="26"/>
                <w:szCs w:val="26"/>
                <w:rtl/>
              </w:rPr>
              <w:t xml:space="preserve">בפני </w:t>
            </w:r>
          </w:p>
        </w:tc>
        <w:tc>
          <w:tcPr>
            <w:tcW w:w="8077" w:type="dxa"/>
            <w:gridSpan w:val="2"/>
            <w:hideMark/>
          </w:tcPr>
          <w:p w:rsidR="00BD5614" w:rsidRDefault="00BD5614">
            <w:pPr>
              <w:spacing w:before="120" w:after="120" w:line="240" w:lineRule="exact"/>
              <w:rPr>
                <w:rFonts w:ascii="Arial" w:hAnsi="Arial"/>
                <w:b/>
                <w:bCs/>
                <w:noProof w:val="0"/>
                <w:sz w:val="26"/>
                <w:szCs w:val="26"/>
              </w:rPr>
            </w:pPr>
            <w:r>
              <w:rPr>
                <w:rFonts w:ascii="Arial" w:hAnsi="Arial"/>
                <w:b/>
                <w:bCs/>
                <w:sz w:val="26"/>
                <w:szCs w:val="26"/>
                <w:rtl/>
              </w:rPr>
              <w:t>כב' השופט  אביגדור דורות, יו"ר הועדה</w:t>
            </w:r>
          </w:p>
          <w:p w:rsidR="00BD5614" w:rsidRDefault="00BD5614">
            <w:pPr>
              <w:spacing w:before="120" w:after="120" w:line="240" w:lineRule="exact"/>
              <w:rPr>
                <w:rFonts w:ascii="Arial" w:hAnsi="Arial"/>
                <w:b/>
                <w:bCs/>
                <w:sz w:val="26"/>
                <w:szCs w:val="26"/>
                <w:rtl/>
              </w:rPr>
            </w:pPr>
            <w:r>
              <w:rPr>
                <w:rFonts w:ascii="David" w:hAnsi="David"/>
                <w:b/>
                <w:bCs/>
                <w:color w:val="000000"/>
                <w:sz w:val="26"/>
                <w:szCs w:val="26"/>
                <w:rtl/>
              </w:rPr>
              <w:t>גב' גבע בלטר, חברה</w:t>
            </w:r>
          </w:p>
          <w:p w:rsidR="00BD5614" w:rsidRDefault="00BD5614">
            <w:pPr>
              <w:spacing w:before="120" w:after="120" w:line="240" w:lineRule="exact"/>
              <w:rPr>
                <w:rFonts w:ascii="Arial" w:hAnsi="Arial" w:cs="FrankRuehl"/>
                <w:b/>
                <w:bCs/>
                <w:sz w:val="26"/>
                <w:szCs w:val="26"/>
                <w:highlight w:val="yellow"/>
                <w:rtl/>
              </w:rPr>
            </w:pPr>
            <w:r>
              <w:rPr>
                <w:rFonts w:ascii="Arial" w:hAnsi="Arial"/>
                <w:b/>
                <w:bCs/>
                <w:sz w:val="26"/>
                <w:szCs w:val="26"/>
                <w:rtl/>
              </w:rPr>
              <w:t>גב' נאוה סירקיס, חברה</w:t>
            </w:r>
          </w:p>
        </w:tc>
      </w:tr>
      <w:tr w:rsidR="00BD5614" w:rsidTr="00BD5614">
        <w:trPr>
          <w:jc w:val="center"/>
        </w:trPr>
        <w:tc>
          <w:tcPr>
            <w:tcW w:w="3249" w:type="dxa"/>
            <w:gridSpan w:val="2"/>
            <w:hideMark/>
          </w:tcPr>
          <w:p w:rsidR="00BD5614" w:rsidRDefault="00BD5614">
            <w:pPr>
              <w:bidi w:val="0"/>
              <w:spacing w:before="120" w:after="120" w:line="240" w:lineRule="exact"/>
              <w:jc w:val="right"/>
              <w:rPr>
                <w:rFonts w:ascii="Arial" w:hAnsi="Arial"/>
                <w:b/>
                <w:bCs/>
                <w:noProof w:val="0"/>
                <w:sz w:val="26"/>
                <w:szCs w:val="26"/>
              </w:rPr>
            </w:pPr>
            <w:bookmarkStart w:id="1" w:name="FirstAppellant"/>
            <w:bookmarkStart w:id="2" w:name="FirstLawyer"/>
            <w:r>
              <w:rPr>
                <w:rFonts w:ascii="Arial" w:hAnsi="Arial"/>
                <w:b/>
                <w:bCs/>
                <w:sz w:val="26"/>
                <w:szCs w:val="26"/>
                <w:rtl/>
              </w:rPr>
              <w:t>העורר:</w:t>
            </w:r>
          </w:p>
        </w:tc>
        <w:tc>
          <w:tcPr>
            <w:tcW w:w="5571" w:type="dxa"/>
            <w:hideMark/>
          </w:tcPr>
          <w:p w:rsidR="00BD5614" w:rsidRDefault="00BD5614">
            <w:pPr>
              <w:spacing w:before="120" w:after="120" w:line="240" w:lineRule="exact"/>
              <w:rPr>
                <w:b/>
                <w:bCs/>
                <w:sz w:val="26"/>
                <w:szCs w:val="26"/>
                <w:rtl/>
              </w:rPr>
            </w:pPr>
            <w:r>
              <w:rPr>
                <w:rFonts w:ascii="Arial" w:hAnsi="Arial"/>
                <w:b/>
                <w:bCs/>
                <w:sz w:val="26"/>
                <w:szCs w:val="26"/>
                <w:rtl/>
              </w:rPr>
              <w:t>יצחק אזרחי</w:t>
            </w:r>
          </w:p>
          <w:p w:rsidR="00BD5614" w:rsidRDefault="00BD5614">
            <w:pPr>
              <w:spacing w:before="120" w:after="120" w:line="240" w:lineRule="exact"/>
              <w:rPr>
                <w:sz w:val="26"/>
                <w:szCs w:val="26"/>
                <w:rtl/>
              </w:rPr>
            </w:pPr>
            <w:r>
              <w:rPr>
                <w:sz w:val="26"/>
                <w:szCs w:val="26"/>
                <w:rtl/>
              </w:rPr>
              <w:t>ע"י ב"כ עו"ד חגי גרוס</w:t>
            </w:r>
          </w:p>
        </w:tc>
        <w:bookmarkEnd w:id="1"/>
        <w:bookmarkEnd w:id="2"/>
      </w:tr>
      <w:tr w:rsidR="00BD5614" w:rsidTr="00BD5614">
        <w:trPr>
          <w:jc w:val="center"/>
        </w:trPr>
        <w:tc>
          <w:tcPr>
            <w:tcW w:w="8820" w:type="dxa"/>
            <w:gridSpan w:val="3"/>
            <w:hideMark/>
          </w:tcPr>
          <w:p w:rsidR="00BD5614" w:rsidRDefault="00BD5614">
            <w:pPr>
              <w:spacing w:before="240" w:after="240" w:line="240" w:lineRule="exact"/>
              <w:jc w:val="center"/>
              <w:rPr>
                <w:rFonts w:ascii="Arial" w:hAnsi="Arial"/>
                <w:b/>
                <w:bCs/>
                <w:sz w:val="26"/>
                <w:szCs w:val="26"/>
              </w:rPr>
            </w:pPr>
            <w:r>
              <w:rPr>
                <w:rFonts w:ascii="Arial" w:hAnsi="Arial"/>
                <w:b/>
                <w:bCs/>
                <w:sz w:val="26"/>
                <w:szCs w:val="26"/>
                <w:rtl/>
              </w:rPr>
              <w:t>נגד</w:t>
            </w:r>
          </w:p>
        </w:tc>
      </w:tr>
      <w:tr w:rsidR="00BD5614" w:rsidTr="00BD5614">
        <w:trPr>
          <w:jc w:val="center"/>
        </w:trPr>
        <w:tc>
          <w:tcPr>
            <w:tcW w:w="3249" w:type="dxa"/>
            <w:gridSpan w:val="2"/>
            <w:hideMark/>
          </w:tcPr>
          <w:p w:rsidR="00BD5614" w:rsidRDefault="00BD5614">
            <w:pPr>
              <w:spacing w:before="120" w:after="120" w:line="240" w:lineRule="exact"/>
              <w:rPr>
                <w:rFonts w:ascii="Arial" w:hAnsi="Arial"/>
                <w:b/>
                <w:bCs/>
                <w:sz w:val="26"/>
                <w:szCs w:val="26"/>
              </w:rPr>
            </w:pPr>
            <w:r>
              <w:rPr>
                <w:rFonts w:ascii="Arial" w:hAnsi="Arial"/>
                <w:b/>
                <w:bCs/>
                <w:sz w:val="26"/>
                <w:szCs w:val="26"/>
                <w:rtl/>
              </w:rPr>
              <w:t>המשיב:</w:t>
            </w:r>
          </w:p>
        </w:tc>
        <w:tc>
          <w:tcPr>
            <w:tcW w:w="5571" w:type="dxa"/>
            <w:hideMark/>
          </w:tcPr>
          <w:p w:rsidR="00BD5614" w:rsidRDefault="00BD5614">
            <w:pPr>
              <w:spacing w:before="120" w:after="120" w:line="240" w:lineRule="exact"/>
              <w:rPr>
                <w:b/>
                <w:bCs/>
                <w:sz w:val="26"/>
                <w:szCs w:val="26"/>
              </w:rPr>
            </w:pPr>
            <w:r>
              <w:rPr>
                <w:rFonts w:ascii="Arial" w:hAnsi="Arial"/>
                <w:b/>
                <w:bCs/>
                <w:sz w:val="26"/>
                <w:szCs w:val="26"/>
                <w:rtl/>
              </w:rPr>
              <w:t>מנהל מיסוי מקרקעין</w:t>
            </w:r>
            <w:r>
              <w:rPr>
                <w:b/>
                <w:bCs/>
                <w:sz w:val="26"/>
                <w:szCs w:val="26"/>
                <w:rtl/>
              </w:rPr>
              <w:t xml:space="preserve"> ירושלים</w:t>
            </w:r>
          </w:p>
          <w:p w:rsidR="00BD5614" w:rsidRDefault="00BD5614" w:rsidP="00921214">
            <w:pPr>
              <w:spacing w:before="120" w:after="120" w:line="240" w:lineRule="exact"/>
              <w:rPr>
                <w:sz w:val="26"/>
                <w:szCs w:val="26"/>
                <w:rtl/>
              </w:rPr>
            </w:pPr>
            <w:r>
              <w:rPr>
                <w:sz w:val="26"/>
                <w:szCs w:val="26"/>
                <w:rtl/>
              </w:rPr>
              <w:t>ע"י ב"כ עו"ד בינה צמח מאונר</w:t>
            </w:r>
          </w:p>
          <w:p w:rsidR="00BD5614" w:rsidRDefault="00BD5614">
            <w:pPr>
              <w:spacing w:before="120" w:after="120" w:line="240" w:lineRule="exact"/>
              <w:rPr>
                <w:b/>
                <w:bCs/>
                <w:sz w:val="26"/>
                <w:szCs w:val="26"/>
                <w:rtl/>
              </w:rPr>
            </w:pPr>
            <w:r>
              <w:rPr>
                <w:sz w:val="26"/>
                <w:szCs w:val="26"/>
                <w:rtl/>
              </w:rPr>
              <w:t>מפרקליטות מחוז ירושלים (אזרחי)</w:t>
            </w:r>
          </w:p>
        </w:tc>
      </w:tr>
    </w:tbl>
    <w:p w:rsidR="00BD5614" w:rsidRDefault="00BD5614" w:rsidP="00BD5614">
      <w:pPr>
        <w:rPr>
          <w:rtl/>
        </w:rPr>
      </w:pPr>
    </w:p>
    <w:tbl>
      <w:tblPr>
        <w:bidiVisual/>
        <w:tblW w:w="8820" w:type="dxa"/>
        <w:jc w:val="center"/>
        <w:tblCellMar>
          <w:left w:w="0" w:type="dxa"/>
          <w:right w:w="0" w:type="dxa"/>
        </w:tblCellMar>
        <w:tblLook w:val="04A0" w:firstRow="1" w:lastRow="0" w:firstColumn="1" w:lastColumn="0" w:noHBand="0" w:noVBand="1"/>
      </w:tblPr>
      <w:tblGrid>
        <w:gridCol w:w="8820"/>
      </w:tblGrid>
      <w:tr w:rsidR="00BD5614" w:rsidTr="00BD5614">
        <w:trPr>
          <w:jc w:val="center"/>
        </w:trPr>
        <w:tc>
          <w:tcPr>
            <w:tcW w:w="8820" w:type="dxa"/>
            <w:tcMar>
              <w:top w:w="0" w:type="dxa"/>
              <w:left w:w="108" w:type="dxa"/>
              <w:bottom w:w="0" w:type="dxa"/>
              <w:right w:w="108" w:type="dxa"/>
            </w:tcMar>
            <w:hideMark/>
          </w:tcPr>
          <w:p w:rsidR="00BD5614" w:rsidRDefault="00BD5614">
            <w:pPr>
              <w:bidi w:val="0"/>
              <w:jc w:val="center"/>
              <w:rPr>
                <w:rFonts w:cs="Times New Roman"/>
                <w:noProof w:val="0"/>
                <w:color w:val="000000"/>
                <w:sz w:val="27"/>
                <w:szCs w:val="27"/>
              </w:rPr>
            </w:pPr>
            <w:r>
              <w:rPr>
                <w:rFonts w:ascii="Arial" w:hAnsi="Arial" w:cs="Arial"/>
                <w:b/>
                <w:bCs/>
                <w:sz w:val="28"/>
                <w:szCs w:val="28"/>
              </w:rPr>
              <w:t> </w:t>
            </w:r>
            <w:bookmarkStart w:id="3" w:name="PsakDin"/>
            <w:r>
              <w:rPr>
                <w:rFonts w:ascii="David" w:hAnsi="David"/>
                <w:b/>
                <w:bCs/>
                <w:color w:val="000000"/>
                <w:sz w:val="28"/>
                <w:szCs w:val="28"/>
                <w:u w:val="single"/>
                <w:rtl/>
              </w:rPr>
              <w:t>פסק דין</w:t>
            </w:r>
            <w:bookmarkEnd w:id="3"/>
          </w:p>
        </w:tc>
      </w:tr>
    </w:tbl>
    <w:p w:rsidR="00921214" w:rsidRDefault="00BD5614" w:rsidP="00BD5614">
      <w:pPr>
        <w:spacing w:line="360" w:lineRule="auto"/>
        <w:jc w:val="both"/>
        <w:rPr>
          <w:rFonts w:ascii="David" w:hAnsi="David"/>
          <w:b/>
          <w:bCs/>
          <w:color w:val="000000"/>
          <w:rtl/>
        </w:rPr>
      </w:pPr>
      <w:r>
        <w:rPr>
          <w:rFonts w:ascii="David" w:hAnsi="David"/>
          <w:color w:val="000000"/>
          <w:rtl/>
        </w:rPr>
        <w:t> </w:t>
      </w:r>
    </w:p>
    <w:p w:rsidR="00BD5614" w:rsidRDefault="00BD5614" w:rsidP="00BD5614">
      <w:pPr>
        <w:spacing w:line="360" w:lineRule="auto"/>
        <w:jc w:val="both"/>
        <w:rPr>
          <w:rFonts w:cs="Times New Roman"/>
          <w:color w:val="000000"/>
        </w:rPr>
      </w:pPr>
      <w:r>
        <w:rPr>
          <w:rFonts w:ascii="David" w:hAnsi="David"/>
          <w:b/>
          <w:bCs/>
          <w:color w:val="000000"/>
          <w:rtl/>
        </w:rPr>
        <w:t>יו"ר הוועדה, השופט אביגדור דורות</w:t>
      </w:r>
      <w:r>
        <w:rPr>
          <w:rFonts w:ascii="David" w:hAnsi="David"/>
          <w:color w:val="000000"/>
          <w:rtl/>
        </w:rPr>
        <w:t>:</w:t>
      </w:r>
    </w:p>
    <w:p w:rsidR="00BD5614" w:rsidRDefault="00BD5614" w:rsidP="00BD5614">
      <w:pPr>
        <w:spacing w:line="360" w:lineRule="auto"/>
        <w:jc w:val="both"/>
        <w:rPr>
          <w:rFonts w:ascii="David" w:hAnsi="David"/>
          <w:rtl/>
        </w:rPr>
      </w:pPr>
      <w:r>
        <w:rPr>
          <w:rFonts w:ascii="David" w:hAnsi="David"/>
          <w:rtl/>
        </w:rPr>
        <w:t> לפנינו ערר על החלטת המשיב מיום 11.8.2020 בגדרה נדחתה השגת העורר לפיה עליו לשלם מס רכישה מופחת לפי מדרגות מס על דירת מגורים יחידה בהתאם לסעיף 9 לחוק מיסוי מקרקעין (שבח ורכישה), התשכ"ג-1963 (להלן: "</w:t>
      </w:r>
      <w:r>
        <w:rPr>
          <w:rFonts w:ascii="David" w:hAnsi="David"/>
          <w:b/>
          <w:bCs/>
          <w:rtl/>
        </w:rPr>
        <w:t>החוק</w:t>
      </w:r>
      <w:r>
        <w:rPr>
          <w:rFonts w:ascii="David" w:hAnsi="David"/>
          <w:rtl/>
        </w:rPr>
        <w:t xml:space="preserve">"). </w:t>
      </w:r>
    </w:p>
    <w:p w:rsidR="00BD5614" w:rsidRDefault="00BD5614" w:rsidP="00BD5614">
      <w:pPr>
        <w:spacing w:line="360" w:lineRule="auto"/>
        <w:jc w:val="both"/>
        <w:rPr>
          <w:rFonts w:ascii="David" w:hAnsi="David"/>
          <w:b/>
          <w:bCs/>
          <w:u w:val="single"/>
        </w:rPr>
      </w:pPr>
    </w:p>
    <w:p w:rsidR="00BD5614" w:rsidRDefault="00BD5614" w:rsidP="00BD5614">
      <w:pPr>
        <w:spacing w:line="360" w:lineRule="auto"/>
        <w:jc w:val="both"/>
        <w:rPr>
          <w:rFonts w:ascii="David" w:hAnsi="David"/>
          <w:b/>
          <w:bCs/>
          <w:u w:val="single"/>
          <w:rtl/>
        </w:rPr>
      </w:pPr>
      <w:r>
        <w:rPr>
          <w:rFonts w:ascii="David" w:hAnsi="David"/>
          <w:b/>
          <w:bCs/>
          <w:u w:val="single"/>
          <w:rtl/>
        </w:rPr>
        <w:t>רקע עובדתי</w:t>
      </w:r>
    </w:p>
    <w:p w:rsidR="00921214" w:rsidRDefault="00921214" w:rsidP="00BD5614">
      <w:pPr>
        <w:spacing w:line="360" w:lineRule="auto"/>
        <w:jc w:val="both"/>
        <w:rPr>
          <w:rFonts w:ascii="David" w:hAnsi="David"/>
          <w:b/>
          <w:bCs/>
          <w:u w:val="single"/>
          <w:rtl/>
        </w:rPr>
      </w:pPr>
    </w:p>
    <w:p w:rsidR="00BD5614" w:rsidRDefault="00BD5614" w:rsidP="00921214">
      <w:pPr>
        <w:pStyle w:val="ad"/>
        <w:numPr>
          <w:ilvl w:val="0"/>
          <w:numId w:val="1"/>
        </w:numPr>
        <w:spacing w:after="160" w:line="360" w:lineRule="auto"/>
        <w:jc w:val="both"/>
        <w:rPr>
          <w:rFonts w:ascii="David" w:hAnsi="David"/>
          <w:noProof w:val="0"/>
        </w:rPr>
      </w:pPr>
      <w:r>
        <w:rPr>
          <w:rFonts w:ascii="David" w:hAnsi="David"/>
          <w:noProof w:val="0"/>
          <w:rtl/>
        </w:rPr>
        <w:t xml:space="preserve">ביום 14.2.06 נישאו העורר וגב' </w:t>
      </w:r>
      <w:r w:rsidR="00921214">
        <w:rPr>
          <w:rFonts w:ascii="David" w:hAnsi="David" w:hint="cs"/>
          <w:noProof w:val="0"/>
          <w:rtl/>
        </w:rPr>
        <w:t xml:space="preserve">רבקה </w:t>
      </w:r>
      <w:r>
        <w:rPr>
          <w:rFonts w:ascii="David" w:hAnsi="David"/>
          <w:noProof w:val="0"/>
          <w:rtl/>
        </w:rPr>
        <w:t>ברגר (להלן:</w:t>
      </w:r>
      <w:r>
        <w:rPr>
          <w:rFonts w:ascii="David" w:hAnsi="David"/>
          <w:b/>
          <w:bCs/>
          <w:noProof w:val="0"/>
          <w:rtl/>
        </w:rPr>
        <w:t xml:space="preserve"> "בת הזוג</w:t>
      </w:r>
      <w:r>
        <w:rPr>
          <w:rFonts w:ascii="David" w:hAnsi="David"/>
          <w:noProof w:val="0"/>
          <w:rtl/>
        </w:rPr>
        <w:t xml:space="preserve">"). </w:t>
      </w:r>
    </w:p>
    <w:p w:rsidR="00921214" w:rsidRDefault="00921214" w:rsidP="00921214">
      <w:pPr>
        <w:pStyle w:val="ad"/>
        <w:spacing w:after="160" w:line="360" w:lineRule="auto"/>
        <w:jc w:val="both"/>
        <w:rPr>
          <w:rFonts w:ascii="David" w:hAnsi="David"/>
          <w:noProof w:val="0"/>
          <w:rtl/>
        </w:rPr>
      </w:pPr>
    </w:p>
    <w:p w:rsidR="00BD5614" w:rsidRDefault="00BD5614" w:rsidP="00BD5614">
      <w:pPr>
        <w:pStyle w:val="ad"/>
        <w:numPr>
          <w:ilvl w:val="0"/>
          <w:numId w:val="1"/>
        </w:numPr>
        <w:spacing w:after="160" w:line="360" w:lineRule="auto"/>
        <w:jc w:val="both"/>
        <w:rPr>
          <w:rFonts w:ascii="David" w:hAnsi="David"/>
          <w:noProof w:val="0"/>
        </w:rPr>
      </w:pPr>
      <w:r>
        <w:rPr>
          <w:rFonts w:ascii="David" w:hAnsi="David"/>
          <w:noProof w:val="0"/>
          <w:rtl/>
        </w:rPr>
        <w:t>בצמוד לחתונתם, נרכשה זכות לדירה בקבוצת רכישה (להלן: "</w:t>
      </w:r>
      <w:r>
        <w:rPr>
          <w:rFonts w:ascii="David" w:hAnsi="David"/>
          <w:b/>
          <w:bCs/>
          <w:noProof w:val="0"/>
          <w:rtl/>
        </w:rPr>
        <w:t>הדירה ברחוב קורדובירו</w:t>
      </w:r>
      <w:r>
        <w:rPr>
          <w:rFonts w:ascii="David" w:hAnsi="David"/>
          <w:noProof w:val="0"/>
          <w:rtl/>
        </w:rPr>
        <w:t xml:space="preserve">") אשר נרשמה על שם בת הזוג ואמו של העורר. </w:t>
      </w:r>
    </w:p>
    <w:p w:rsidR="00921214" w:rsidRDefault="00921214" w:rsidP="00921214">
      <w:pPr>
        <w:pStyle w:val="ad"/>
        <w:spacing w:after="160" w:line="360" w:lineRule="auto"/>
        <w:jc w:val="both"/>
        <w:rPr>
          <w:rFonts w:ascii="David" w:hAnsi="David"/>
          <w:noProof w:val="0"/>
        </w:rPr>
      </w:pPr>
    </w:p>
    <w:p w:rsidR="00BD5614" w:rsidRDefault="00BD5614" w:rsidP="00BD5614">
      <w:pPr>
        <w:pStyle w:val="ad"/>
        <w:spacing w:after="160" w:line="360" w:lineRule="auto"/>
        <w:jc w:val="both"/>
        <w:rPr>
          <w:rFonts w:ascii="David" w:hAnsi="David"/>
          <w:noProof w:val="0"/>
          <w:rtl/>
        </w:rPr>
      </w:pPr>
      <w:r>
        <w:rPr>
          <w:rFonts w:ascii="David" w:hAnsi="David"/>
          <w:noProof w:val="0"/>
          <w:rtl/>
        </w:rPr>
        <w:t>לטענת העורר, הוריו והורי בת הזוג רצו לרכוש בעבורם דירה, אך ה</w:t>
      </w:r>
      <w:r w:rsidR="00921214">
        <w:rPr>
          <w:rFonts w:ascii="David" w:hAnsi="David" w:hint="cs"/>
          <w:noProof w:val="0"/>
          <w:rtl/>
        </w:rPr>
        <w:t>ו</w:t>
      </w:r>
      <w:r>
        <w:rPr>
          <w:rFonts w:ascii="David" w:hAnsi="David"/>
          <w:noProof w:val="0"/>
          <w:rtl/>
        </w:rPr>
        <w:t xml:space="preserve">רי בת הזוג סרבו לרכוש זכות בשותפות עם העורר כיוון שבאותה העת הוגדר כ"חייב מוגבל באמצעים" ועמדו נגדו תיקי הוצאה לפועל בסכום של למעלה ממיליון ₪. תחת זאת נרשמה הזכות על שם בת הזוג ואמו של העורר, כאמור לעיל. </w:t>
      </w:r>
    </w:p>
    <w:p w:rsidR="00921214" w:rsidRDefault="00921214" w:rsidP="00BD5614">
      <w:pPr>
        <w:pStyle w:val="ad"/>
        <w:spacing w:after="160" w:line="360" w:lineRule="auto"/>
        <w:jc w:val="both"/>
        <w:rPr>
          <w:rFonts w:ascii="David" w:hAnsi="David"/>
          <w:noProof w:val="0"/>
        </w:rPr>
      </w:pPr>
    </w:p>
    <w:p w:rsidR="00BD5614" w:rsidRDefault="00BD5614" w:rsidP="00BD5614">
      <w:pPr>
        <w:pStyle w:val="ad"/>
        <w:numPr>
          <w:ilvl w:val="0"/>
          <w:numId w:val="1"/>
        </w:numPr>
        <w:spacing w:after="160" w:line="360" w:lineRule="auto"/>
        <w:jc w:val="both"/>
        <w:rPr>
          <w:rFonts w:ascii="David" w:hAnsi="David"/>
          <w:noProof w:val="0"/>
        </w:rPr>
      </w:pPr>
      <w:r>
        <w:rPr>
          <w:rFonts w:ascii="David" w:hAnsi="David"/>
          <w:noProof w:val="0"/>
          <w:rtl/>
        </w:rPr>
        <w:t xml:space="preserve">ביום 22.10.12 אושר הסכם ממון שנחתם בין בני הזוג בתאריך 31.5.2012, על ידי בית הדין הרבני בירושלים. </w:t>
      </w:r>
    </w:p>
    <w:p w:rsidR="00921214" w:rsidRDefault="00921214" w:rsidP="00921214">
      <w:pPr>
        <w:pStyle w:val="ad"/>
        <w:spacing w:after="160" w:line="360" w:lineRule="auto"/>
        <w:jc w:val="both"/>
        <w:rPr>
          <w:rFonts w:ascii="David" w:hAnsi="David"/>
          <w:noProof w:val="0"/>
        </w:rPr>
      </w:pPr>
    </w:p>
    <w:p w:rsidR="00BD5614" w:rsidRDefault="00BD5614" w:rsidP="003509A0">
      <w:pPr>
        <w:pStyle w:val="ad"/>
        <w:numPr>
          <w:ilvl w:val="0"/>
          <w:numId w:val="1"/>
        </w:numPr>
        <w:spacing w:after="160" w:line="360" w:lineRule="auto"/>
        <w:jc w:val="both"/>
        <w:rPr>
          <w:rFonts w:ascii="David" w:hAnsi="David"/>
          <w:noProof w:val="0"/>
        </w:rPr>
      </w:pPr>
      <w:r>
        <w:rPr>
          <w:rFonts w:ascii="David" w:hAnsi="David"/>
          <w:noProof w:val="0"/>
          <w:rtl/>
        </w:rPr>
        <w:t xml:space="preserve">ביום 22.8.13 רכשה בת הזוג על שמה בלבד דירה </w:t>
      </w:r>
      <w:r w:rsidR="003509A0">
        <w:rPr>
          <w:rFonts w:ascii="David" w:hAnsi="David" w:hint="cs"/>
          <w:noProof w:val="0"/>
          <w:rtl/>
        </w:rPr>
        <w:t xml:space="preserve">ברחוב סלמן מוצפי בירושלים </w:t>
      </w:r>
      <w:r>
        <w:rPr>
          <w:rFonts w:ascii="David" w:hAnsi="David"/>
          <w:noProof w:val="0"/>
          <w:rtl/>
        </w:rPr>
        <w:t>תמורת 3,250,000 ₪ (להלן "</w:t>
      </w:r>
      <w:r>
        <w:rPr>
          <w:rFonts w:ascii="David" w:hAnsi="David"/>
          <w:b/>
          <w:bCs/>
          <w:noProof w:val="0"/>
          <w:rtl/>
        </w:rPr>
        <w:t>הדירה הראשונה</w:t>
      </w:r>
      <w:r>
        <w:rPr>
          <w:rFonts w:ascii="David" w:hAnsi="David"/>
          <w:noProof w:val="0"/>
          <w:rtl/>
        </w:rPr>
        <w:t>"). בדירה זו התגוררו העורר ובת זוגו יחד</w:t>
      </w:r>
      <w:r w:rsidR="005759AD">
        <w:rPr>
          <w:rFonts w:ascii="David" w:hAnsi="David" w:hint="cs"/>
          <w:noProof w:val="0"/>
          <w:rtl/>
        </w:rPr>
        <w:t xml:space="preserve"> עם</w:t>
      </w:r>
      <w:r>
        <w:rPr>
          <w:rFonts w:ascii="David" w:hAnsi="David"/>
          <w:noProof w:val="0"/>
          <w:rtl/>
        </w:rPr>
        <w:t xml:space="preserve"> ילדיהם </w:t>
      </w:r>
      <w:r>
        <w:rPr>
          <w:rFonts w:ascii="David" w:hAnsi="David"/>
          <w:noProof w:val="0"/>
          <w:rtl/>
        </w:rPr>
        <w:lastRenderedPageBreak/>
        <w:t>בשנים 2013-2021. בנוסף, ביום 20.7.2017 רכשה בת הזוג מחסן כתוספת לדירה בסך 93,300 ש"ח.</w:t>
      </w:r>
    </w:p>
    <w:p w:rsidR="00921214" w:rsidRDefault="00921214" w:rsidP="00921214">
      <w:pPr>
        <w:pStyle w:val="ad"/>
        <w:spacing w:after="160" w:line="360" w:lineRule="auto"/>
        <w:jc w:val="both"/>
        <w:rPr>
          <w:rFonts w:ascii="David" w:hAnsi="David"/>
          <w:noProof w:val="0"/>
        </w:rPr>
      </w:pPr>
    </w:p>
    <w:p w:rsidR="00BD5614" w:rsidRDefault="00BD5614" w:rsidP="005759AD">
      <w:pPr>
        <w:pStyle w:val="ad"/>
        <w:numPr>
          <w:ilvl w:val="0"/>
          <w:numId w:val="1"/>
        </w:numPr>
        <w:spacing w:after="160" w:line="360" w:lineRule="auto"/>
        <w:jc w:val="both"/>
        <w:rPr>
          <w:rFonts w:ascii="David" w:hAnsi="David"/>
          <w:noProof w:val="0"/>
        </w:rPr>
      </w:pPr>
      <w:r>
        <w:rPr>
          <w:rFonts w:ascii="David" w:hAnsi="David"/>
          <w:noProof w:val="0"/>
          <w:rtl/>
        </w:rPr>
        <w:t xml:space="preserve">ביום 12.3.18 </w:t>
      </w:r>
      <w:r w:rsidR="005759AD">
        <w:rPr>
          <w:rFonts w:ascii="David" w:hAnsi="David" w:hint="cs"/>
          <w:noProof w:val="0"/>
          <w:rtl/>
        </w:rPr>
        <w:t xml:space="preserve">נרכשה </w:t>
      </w:r>
      <w:r>
        <w:rPr>
          <w:rFonts w:ascii="David" w:hAnsi="David"/>
          <w:noProof w:val="0"/>
          <w:rtl/>
        </w:rPr>
        <w:t>דירה נוספת</w:t>
      </w:r>
      <w:r w:rsidR="005759AD">
        <w:rPr>
          <w:rFonts w:ascii="David" w:hAnsi="David" w:hint="cs"/>
          <w:noProof w:val="0"/>
          <w:rtl/>
        </w:rPr>
        <w:t xml:space="preserve"> ברחוב </w:t>
      </w:r>
      <w:r w:rsidR="003509A0">
        <w:rPr>
          <w:rFonts w:ascii="David" w:hAnsi="David" w:hint="cs"/>
          <w:noProof w:val="0"/>
          <w:rtl/>
        </w:rPr>
        <w:t xml:space="preserve">משה </w:t>
      </w:r>
      <w:r w:rsidR="005759AD">
        <w:rPr>
          <w:rFonts w:ascii="David" w:hAnsi="David" w:hint="cs"/>
          <w:noProof w:val="0"/>
          <w:rtl/>
        </w:rPr>
        <w:t xml:space="preserve">זילברג </w:t>
      </w:r>
      <w:r w:rsidR="003509A0">
        <w:rPr>
          <w:rFonts w:ascii="David" w:hAnsi="David" w:hint="cs"/>
          <w:noProof w:val="0"/>
          <w:rtl/>
        </w:rPr>
        <w:t xml:space="preserve">30 </w:t>
      </w:r>
      <w:r w:rsidR="005759AD">
        <w:rPr>
          <w:rFonts w:ascii="David" w:hAnsi="David" w:hint="cs"/>
          <w:noProof w:val="0"/>
          <w:rtl/>
        </w:rPr>
        <w:t>בירושלים, הידועה כ</w:t>
      </w:r>
      <w:r>
        <w:rPr>
          <w:rFonts w:ascii="David" w:hAnsi="David"/>
          <w:noProof w:val="0"/>
          <w:rtl/>
        </w:rPr>
        <w:t xml:space="preserve">גוש 30192, חלקה 263, תת חלקה 153, תמורת 5,850,000 ₪ (להלן: </w:t>
      </w:r>
      <w:r>
        <w:rPr>
          <w:rFonts w:ascii="David" w:hAnsi="David"/>
          <w:b/>
          <w:bCs/>
          <w:noProof w:val="0"/>
          <w:rtl/>
        </w:rPr>
        <w:t>"הדירה הנוספת"</w:t>
      </w:r>
      <w:r>
        <w:rPr>
          <w:rFonts w:ascii="David" w:hAnsi="David"/>
          <w:noProof w:val="0"/>
          <w:rtl/>
        </w:rPr>
        <w:t>).</w:t>
      </w:r>
    </w:p>
    <w:p w:rsidR="00921214" w:rsidRDefault="00921214" w:rsidP="00921214">
      <w:pPr>
        <w:pStyle w:val="ad"/>
        <w:spacing w:after="160" w:line="360" w:lineRule="auto"/>
        <w:jc w:val="both"/>
        <w:rPr>
          <w:rFonts w:ascii="David" w:hAnsi="David"/>
          <w:noProof w:val="0"/>
        </w:rPr>
      </w:pPr>
    </w:p>
    <w:p w:rsidR="00BD5614" w:rsidRDefault="00BD5614" w:rsidP="00BD5614">
      <w:pPr>
        <w:pStyle w:val="ad"/>
        <w:numPr>
          <w:ilvl w:val="0"/>
          <w:numId w:val="1"/>
        </w:numPr>
        <w:spacing w:after="160" w:line="360" w:lineRule="auto"/>
        <w:jc w:val="both"/>
        <w:rPr>
          <w:rFonts w:ascii="David" w:hAnsi="David"/>
          <w:noProof w:val="0"/>
        </w:rPr>
      </w:pPr>
      <w:r>
        <w:rPr>
          <w:rFonts w:ascii="David" w:hAnsi="David"/>
          <w:noProof w:val="0"/>
          <w:rtl/>
        </w:rPr>
        <w:t>ביום 22.3.2018 הגישו העורר ובת זוגו הצהרה למשיב על רכישת זכויות בדירה יחיד</w:t>
      </w:r>
      <w:r w:rsidR="005759AD">
        <w:rPr>
          <w:rFonts w:ascii="David" w:hAnsi="David"/>
          <w:noProof w:val="0"/>
          <w:rtl/>
        </w:rPr>
        <w:t>ה, ובהתאם קבעו את שומתם העצמית</w:t>
      </w:r>
      <w:r w:rsidR="005759AD">
        <w:rPr>
          <w:rFonts w:ascii="David" w:hAnsi="David" w:hint="cs"/>
          <w:noProof w:val="0"/>
          <w:rtl/>
        </w:rPr>
        <w:t>, על סך 227,321 ₪.</w:t>
      </w:r>
    </w:p>
    <w:p w:rsidR="00921214" w:rsidRDefault="00921214" w:rsidP="00921214">
      <w:pPr>
        <w:pStyle w:val="ad"/>
        <w:spacing w:after="160" w:line="360" w:lineRule="auto"/>
        <w:jc w:val="both"/>
        <w:rPr>
          <w:rFonts w:ascii="David" w:hAnsi="David"/>
          <w:noProof w:val="0"/>
        </w:rPr>
      </w:pPr>
    </w:p>
    <w:p w:rsidR="00BD5614" w:rsidRDefault="00BD5614" w:rsidP="00BD5614">
      <w:pPr>
        <w:pStyle w:val="ad"/>
        <w:numPr>
          <w:ilvl w:val="0"/>
          <w:numId w:val="1"/>
        </w:numPr>
        <w:spacing w:after="160" w:line="360" w:lineRule="auto"/>
        <w:jc w:val="both"/>
        <w:rPr>
          <w:rFonts w:ascii="David" w:hAnsi="David"/>
          <w:noProof w:val="0"/>
        </w:rPr>
      </w:pPr>
      <w:r>
        <w:rPr>
          <w:rFonts w:ascii="David" w:hAnsi="David"/>
          <w:noProof w:val="0"/>
          <w:rtl/>
        </w:rPr>
        <w:t>ביום 17.5.2018 הגישו העורר ובת זוגו באמצעות מייצגם הקודם, בקשה לתיקון שומה, בה הודיעו כי בהצהרתם המקורית נפלה שגגה, וכי בבעלותם דירה נוספת. לאור זאת קבע המשיב את שומת מס הרכישה של העורר ובת זוגו על פי מדרגות מס על דירת מגורים שאיננה יחידה, כאמור בסעיף 9 לחוק.</w:t>
      </w:r>
    </w:p>
    <w:p w:rsidR="00921214" w:rsidRDefault="00921214" w:rsidP="00921214">
      <w:pPr>
        <w:pStyle w:val="ad"/>
        <w:spacing w:after="160" w:line="360" w:lineRule="auto"/>
        <w:jc w:val="both"/>
        <w:rPr>
          <w:rFonts w:ascii="David" w:hAnsi="David"/>
          <w:noProof w:val="0"/>
        </w:rPr>
      </w:pPr>
    </w:p>
    <w:p w:rsidR="00BD5614" w:rsidRDefault="00BD5614" w:rsidP="005E6591">
      <w:pPr>
        <w:pStyle w:val="ad"/>
        <w:numPr>
          <w:ilvl w:val="0"/>
          <w:numId w:val="1"/>
        </w:numPr>
        <w:spacing w:after="160" w:line="360" w:lineRule="auto"/>
        <w:jc w:val="both"/>
        <w:rPr>
          <w:rFonts w:ascii="David" w:hAnsi="David"/>
          <w:noProof w:val="0"/>
        </w:rPr>
      </w:pPr>
      <w:r>
        <w:rPr>
          <w:rFonts w:ascii="David" w:hAnsi="David"/>
          <w:noProof w:val="0"/>
          <w:rtl/>
        </w:rPr>
        <w:t>ביום 21.2.2019 פנו העורר ובת זוגו בשלישית אל המשיב וטענו, כי בין הצדדים מתקיימת הפרדה רכושית מוחלטת בהתאם להסכם הממון שחתמו ביניהם. לטענתם, בהתאם להפרדה הרכושית, הדירה הראשונה הינה בבעלות בת הזוג בלבד, כך שביחס למחצית הדירה הנוספת של בת הזוג מדובר בדירה שאיננה יחידה, אולם, כלפי המחצית שבבעלות העורר מדובר בדירה יחידה, ועל כן התבקש המשיב לתקן את שומת מס הרכישה ביחס לעורר לצורך חישוב מס מופחת לפי מדרגות מס על דירת מגורים יחידה בהתאם לסעיף 9 לחוק. המשיב דחה את הבקשה לתיקון השומה.</w:t>
      </w:r>
      <w:r w:rsidR="005759AD">
        <w:rPr>
          <w:rFonts w:ascii="David" w:hAnsi="David" w:hint="cs"/>
          <w:noProof w:val="0"/>
          <w:rtl/>
        </w:rPr>
        <w:t xml:space="preserve"> </w:t>
      </w:r>
      <w:r w:rsidR="00063E90">
        <w:rPr>
          <w:rFonts w:ascii="David" w:hAnsi="David" w:hint="cs"/>
          <w:noProof w:val="0"/>
          <w:rtl/>
        </w:rPr>
        <w:t xml:space="preserve">לנוכח מחלוקת זו, </w:t>
      </w:r>
      <w:r w:rsidR="005759AD">
        <w:rPr>
          <w:rFonts w:ascii="David" w:hAnsi="David" w:hint="cs"/>
          <w:noProof w:val="0"/>
          <w:rtl/>
        </w:rPr>
        <w:t>הסכום השנ</w:t>
      </w:r>
      <w:r w:rsidR="00063E90">
        <w:rPr>
          <w:rFonts w:ascii="David" w:hAnsi="David" w:hint="cs"/>
          <w:noProof w:val="0"/>
          <w:rtl/>
        </w:rPr>
        <w:t>ו</w:t>
      </w:r>
      <w:r w:rsidR="005759AD">
        <w:rPr>
          <w:rFonts w:ascii="David" w:hAnsi="David" w:hint="cs"/>
          <w:noProof w:val="0"/>
          <w:rtl/>
        </w:rPr>
        <w:t>י במחלוקת בערר זה עומד על 175,623 ₪ במונחי קרן.</w:t>
      </w:r>
    </w:p>
    <w:p w:rsidR="00921214" w:rsidRDefault="00921214" w:rsidP="00921214">
      <w:pPr>
        <w:pStyle w:val="ad"/>
        <w:spacing w:after="160" w:line="360" w:lineRule="auto"/>
        <w:jc w:val="both"/>
        <w:rPr>
          <w:rFonts w:ascii="David" w:hAnsi="David"/>
          <w:noProof w:val="0"/>
        </w:rPr>
      </w:pPr>
    </w:p>
    <w:p w:rsidR="00BD5614" w:rsidRDefault="00BD5614" w:rsidP="00BD5614">
      <w:pPr>
        <w:pStyle w:val="ad"/>
        <w:numPr>
          <w:ilvl w:val="0"/>
          <w:numId w:val="1"/>
        </w:numPr>
        <w:spacing w:after="160" w:line="360" w:lineRule="auto"/>
        <w:jc w:val="both"/>
        <w:rPr>
          <w:rFonts w:ascii="David" w:hAnsi="David"/>
          <w:noProof w:val="0"/>
        </w:rPr>
      </w:pPr>
      <w:r>
        <w:rPr>
          <w:rFonts w:ascii="David" w:hAnsi="David"/>
          <w:noProof w:val="0"/>
          <w:rtl/>
        </w:rPr>
        <w:t xml:space="preserve">ביום 11.9.2019 הגיש העורר השגה על החלטת המשיב בטענה כי יש לראות את חלקו בדירה הנוספת כדירה יחידה, לאור הסכם הממון, ושמירה על הפרדה רכושית קפדנית. כמו כן צוין כי הסכם הממון נחתם 5 שנים קודם לרכישת הדירה הראשונה בכדי להגן על בת הזוג מסיכונים עסקיים שנטל על עצמו העורר, ולא לשם הפחתת מס לא נאותה. עוד נטען, כי בת הזוג שמרה על שם משפחתה ולא שינתה אותו לשם בעלה כנהוג במגזר החרדי, כי לבני הזוג חשבונות בנק נפרדים, כי הדירה הראשונה נרכשה ממקורות כלכליים עצמאים של בת הזוג, וכי החזרי המשכנתא משולמים מחשבון הבנק של בת הזוג. </w:t>
      </w:r>
    </w:p>
    <w:p w:rsidR="00921214" w:rsidRDefault="00921214" w:rsidP="00921214">
      <w:pPr>
        <w:pStyle w:val="ad"/>
        <w:spacing w:after="160" w:line="360" w:lineRule="auto"/>
        <w:jc w:val="both"/>
        <w:rPr>
          <w:rFonts w:ascii="David" w:hAnsi="David"/>
          <w:noProof w:val="0"/>
        </w:rPr>
      </w:pPr>
    </w:p>
    <w:p w:rsidR="00BD5614" w:rsidRDefault="00BD5614" w:rsidP="00BD5614">
      <w:pPr>
        <w:pStyle w:val="ad"/>
        <w:numPr>
          <w:ilvl w:val="0"/>
          <w:numId w:val="1"/>
        </w:numPr>
        <w:spacing w:after="160" w:line="360" w:lineRule="auto"/>
        <w:jc w:val="both"/>
        <w:rPr>
          <w:rFonts w:ascii="David" w:hAnsi="David"/>
          <w:noProof w:val="0"/>
        </w:rPr>
      </w:pPr>
      <w:r>
        <w:rPr>
          <w:rFonts w:ascii="David" w:hAnsi="David"/>
          <w:noProof w:val="0"/>
          <w:rtl/>
        </w:rPr>
        <w:t xml:space="preserve">ביום 11.8.20, לאחר חילופי דברים, החליט המשיב לדחות את ההשגה בהתבסס על החומר שהומצא לידיו עד לאותה העת. על החלטה זו הגיש העורר את הערר שלפנינו מכוח סעיף 88 לחוק. </w:t>
      </w:r>
    </w:p>
    <w:p w:rsidR="00921214" w:rsidRDefault="00921214" w:rsidP="00921214">
      <w:pPr>
        <w:pStyle w:val="ad"/>
        <w:spacing w:after="160" w:line="360" w:lineRule="auto"/>
        <w:jc w:val="both"/>
        <w:rPr>
          <w:rFonts w:ascii="David" w:hAnsi="David"/>
          <w:noProof w:val="0"/>
        </w:rPr>
      </w:pPr>
    </w:p>
    <w:p w:rsidR="00BD5614" w:rsidRDefault="00BD5614" w:rsidP="00BD5614">
      <w:pPr>
        <w:pStyle w:val="ad"/>
        <w:numPr>
          <w:ilvl w:val="0"/>
          <w:numId w:val="1"/>
        </w:numPr>
        <w:spacing w:after="160" w:line="360" w:lineRule="auto"/>
        <w:jc w:val="both"/>
        <w:rPr>
          <w:rFonts w:ascii="David" w:hAnsi="David"/>
          <w:noProof w:val="0"/>
        </w:rPr>
      </w:pPr>
      <w:r>
        <w:rPr>
          <w:rFonts w:ascii="David" w:hAnsi="David"/>
          <w:noProof w:val="0"/>
          <w:rtl/>
        </w:rPr>
        <w:lastRenderedPageBreak/>
        <w:t>במסגרת הערר, טוען העורר טענות מהותיות כנגד החלטת המשיב בעניין העדר הפרדה רכושית בין בני הזוג. בנוסף, העלה העורר טענה מקדמית ובה טען כי החלטת המשיב התקבלה במועד מאוחר מזה הקבוע בחוק, ועל כן יש לקבל את הערר</w:t>
      </w:r>
      <w:r w:rsidR="005759AD">
        <w:rPr>
          <w:rFonts w:ascii="David" w:hAnsi="David" w:hint="cs"/>
          <w:noProof w:val="0"/>
          <w:rtl/>
        </w:rPr>
        <w:t xml:space="preserve"> על הסף</w:t>
      </w:r>
      <w:r>
        <w:rPr>
          <w:rFonts w:ascii="David" w:hAnsi="David"/>
          <w:noProof w:val="0"/>
          <w:rtl/>
        </w:rPr>
        <w:t xml:space="preserve"> שעה שהחלטת המשיב התקבלה בחוסר סמכות. </w:t>
      </w:r>
      <w:r w:rsidR="005759AD">
        <w:rPr>
          <w:rFonts w:ascii="David" w:hAnsi="David" w:hint="cs"/>
          <w:noProof w:val="0"/>
          <w:rtl/>
        </w:rPr>
        <w:t>טענה זו נדחתה בהחלטתי מיום 6.6.21.</w:t>
      </w:r>
    </w:p>
    <w:p w:rsidR="00BD5614" w:rsidRDefault="00BD5614" w:rsidP="00BD5614">
      <w:pPr>
        <w:spacing w:line="360" w:lineRule="auto"/>
        <w:jc w:val="both"/>
        <w:rPr>
          <w:rFonts w:ascii="David" w:hAnsi="David"/>
          <w:b/>
          <w:bCs/>
          <w:noProof w:val="0"/>
          <w:u w:val="single"/>
          <w:rtl/>
        </w:rPr>
      </w:pPr>
    </w:p>
    <w:p w:rsidR="00BD5614" w:rsidRDefault="00BD5614" w:rsidP="00BD5614">
      <w:pPr>
        <w:spacing w:line="360" w:lineRule="auto"/>
        <w:jc w:val="both"/>
        <w:rPr>
          <w:rFonts w:ascii="David" w:hAnsi="David"/>
          <w:b/>
          <w:bCs/>
          <w:u w:val="single"/>
          <w:rtl/>
        </w:rPr>
      </w:pPr>
      <w:r>
        <w:rPr>
          <w:rFonts w:ascii="David" w:hAnsi="David"/>
          <w:b/>
          <w:bCs/>
          <w:u w:val="single"/>
          <w:rtl/>
        </w:rPr>
        <w:t>טענות העורר (בתמצית)</w:t>
      </w:r>
    </w:p>
    <w:p w:rsidR="00921214" w:rsidRDefault="00921214" w:rsidP="00BD5614">
      <w:pPr>
        <w:spacing w:line="360" w:lineRule="auto"/>
        <w:jc w:val="both"/>
        <w:rPr>
          <w:rFonts w:ascii="David" w:hAnsi="David"/>
          <w:b/>
          <w:bCs/>
          <w:u w:val="single"/>
          <w:rtl/>
        </w:rPr>
      </w:pPr>
    </w:p>
    <w:p w:rsidR="00BD5614" w:rsidRDefault="00A72778" w:rsidP="00063E90">
      <w:pPr>
        <w:pStyle w:val="ad"/>
        <w:numPr>
          <w:ilvl w:val="0"/>
          <w:numId w:val="1"/>
        </w:numPr>
        <w:spacing w:after="160" w:line="360" w:lineRule="auto"/>
        <w:jc w:val="both"/>
        <w:rPr>
          <w:rFonts w:ascii="David" w:hAnsi="David"/>
          <w:noProof w:val="0"/>
          <w:rtl/>
        </w:rPr>
      </w:pPr>
      <w:r>
        <w:rPr>
          <w:rFonts w:ascii="David" w:hAnsi="David"/>
          <w:noProof w:val="0"/>
          <w:rtl/>
        </w:rPr>
        <w:t>לטענת העורר, המבוססת</w:t>
      </w:r>
      <w:r>
        <w:rPr>
          <w:rFonts w:ascii="David" w:hAnsi="David" w:hint="cs"/>
          <w:noProof w:val="0"/>
          <w:rtl/>
        </w:rPr>
        <w:t xml:space="preserve">, בין היתר, </w:t>
      </w:r>
      <w:r w:rsidR="00BD5614">
        <w:rPr>
          <w:rFonts w:ascii="David" w:hAnsi="David"/>
          <w:noProof w:val="0"/>
          <w:rtl/>
        </w:rPr>
        <w:t xml:space="preserve">על פרשנותו לע"א 4298/18 </w:t>
      </w:r>
      <w:r w:rsidR="00BD5614">
        <w:rPr>
          <w:rFonts w:ascii="David" w:hAnsi="David"/>
          <w:b/>
          <w:bCs/>
          <w:noProof w:val="0"/>
          <w:rtl/>
        </w:rPr>
        <w:t xml:space="preserve">מנהל מיסוי מקרקעין ת"א נ' </w:t>
      </w:r>
      <w:r w:rsidR="00063E90">
        <w:rPr>
          <w:rFonts w:ascii="David" w:hAnsi="David" w:hint="cs"/>
          <w:b/>
          <w:bCs/>
          <w:noProof w:val="0"/>
          <w:rtl/>
        </w:rPr>
        <w:t xml:space="preserve">רועי </w:t>
      </w:r>
      <w:r w:rsidR="00BD5614">
        <w:rPr>
          <w:rFonts w:ascii="David" w:hAnsi="David"/>
          <w:b/>
          <w:bCs/>
          <w:noProof w:val="0"/>
          <w:rtl/>
        </w:rPr>
        <w:t>בלנק</w:t>
      </w:r>
      <w:r w:rsidR="00BD5614">
        <w:rPr>
          <w:rFonts w:ascii="David" w:hAnsi="David"/>
          <w:noProof w:val="0"/>
          <w:rtl/>
        </w:rPr>
        <w:t xml:space="preserve"> (</w:t>
      </w:r>
      <w:r w:rsidR="00063E90">
        <w:rPr>
          <w:rFonts w:ascii="David" w:hAnsi="David" w:hint="cs"/>
          <w:noProof w:val="0"/>
          <w:rtl/>
        </w:rPr>
        <w:t>20.4.21</w:t>
      </w:r>
      <w:r w:rsidR="00BD5614">
        <w:rPr>
          <w:rFonts w:ascii="David" w:hAnsi="David"/>
          <w:noProof w:val="0"/>
          <w:rtl/>
        </w:rPr>
        <w:t>) (להלן: "</w:t>
      </w:r>
      <w:r w:rsidR="00BD5614">
        <w:rPr>
          <w:rFonts w:ascii="David" w:hAnsi="David"/>
          <w:b/>
          <w:bCs/>
          <w:noProof w:val="0"/>
          <w:rtl/>
        </w:rPr>
        <w:t>עניין בלנק</w:t>
      </w:r>
      <w:r w:rsidR="00BD5614">
        <w:rPr>
          <w:rFonts w:ascii="David" w:hAnsi="David"/>
          <w:noProof w:val="0"/>
          <w:rtl/>
        </w:rPr>
        <w:t xml:space="preserve">"), די בהסכם הפרדת רכוש שאינו פיקטיבי או מלאכותי על מנת לסתור את חזקת התא המשפחתי הקבועה בסעיף 9(ג1א)(2)(ב) לחוק, ואין לבחון את התנהלותם השוטפת של בני הזוג. </w:t>
      </w:r>
    </w:p>
    <w:p w:rsidR="00BD5614" w:rsidRDefault="00A72778" w:rsidP="00A72778">
      <w:pPr>
        <w:pStyle w:val="ad"/>
        <w:spacing w:after="160" w:line="360" w:lineRule="auto"/>
        <w:jc w:val="both"/>
        <w:rPr>
          <w:rFonts w:ascii="David" w:hAnsi="David"/>
          <w:noProof w:val="0"/>
          <w:rtl/>
        </w:rPr>
      </w:pPr>
      <w:r>
        <w:rPr>
          <w:rFonts w:ascii="David" w:hAnsi="David" w:hint="cs"/>
          <w:noProof w:val="0"/>
          <w:rtl/>
        </w:rPr>
        <w:t xml:space="preserve">נטען כי </w:t>
      </w:r>
      <w:r w:rsidR="00BD5614">
        <w:rPr>
          <w:rFonts w:ascii="David" w:hAnsi="David"/>
          <w:noProof w:val="0"/>
          <w:rtl/>
        </w:rPr>
        <w:t xml:space="preserve">בעניין </w:t>
      </w:r>
      <w:r w:rsidR="00BD5614" w:rsidRPr="005E6591">
        <w:rPr>
          <w:rFonts w:ascii="David" w:hAnsi="David"/>
          <w:b/>
          <w:bCs/>
          <w:noProof w:val="0"/>
          <w:rtl/>
        </w:rPr>
        <w:t>בלנק</w:t>
      </w:r>
      <w:r w:rsidR="00BD5614">
        <w:rPr>
          <w:rFonts w:ascii="David" w:hAnsi="David"/>
          <w:noProof w:val="0"/>
          <w:rtl/>
        </w:rPr>
        <w:t xml:space="preserve"> </w:t>
      </w:r>
      <w:r>
        <w:rPr>
          <w:rFonts w:ascii="David" w:hAnsi="David" w:hint="cs"/>
          <w:noProof w:val="0"/>
          <w:rtl/>
        </w:rPr>
        <w:t xml:space="preserve">נקבע </w:t>
      </w:r>
      <w:r w:rsidR="00BD5614">
        <w:rPr>
          <w:rFonts w:ascii="David" w:hAnsi="David"/>
          <w:noProof w:val="0"/>
          <w:rtl/>
        </w:rPr>
        <w:t>כי לצורך הוכחת חריג ההפרדה הרכושית אין צורך להוכיח הפרדה "מלאה" ודי בהפרדה "חלקית" המ</w:t>
      </w:r>
      <w:r>
        <w:rPr>
          <w:rFonts w:ascii="David" w:hAnsi="David"/>
          <w:noProof w:val="0"/>
          <w:rtl/>
        </w:rPr>
        <w:t>תייחסת לנכסי מקרקעין בלבד. משכך</w:t>
      </w:r>
      <w:r>
        <w:rPr>
          <w:rFonts w:ascii="David" w:hAnsi="David" w:hint="cs"/>
          <w:noProof w:val="0"/>
          <w:rtl/>
        </w:rPr>
        <w:t xml:space="preserve">, טען </w:t>
      </w:r>
      <w:r w:rsidR="00BD5614">
        <w:rPr>
          <w:rFonts w:ascii="David" w:hAnsi="David"/>
          <w:noProof w:val="0"/>
          <w:rtl/>
        </w:rPr>
        <w:t>העורר כי התנהלות כלכלית כתא משפחתי אחד אינה שוללת את החריג, והמבחן העיקרי ואף היחיד להוכחת חריג ההפרדה הרכושית הוא הפרדה רכושית בפועל של נכסי המקרקעין על ידי רישום הנכס על שם אחד מבני הזוג.</w:t>
      </w:r>
    </w:p>
    <w:p w:rsidR="00921214" w:rsidRDefault="00921214" w:rsidP="00BD5614">
      <w:pPr>
        <w:pStyle w:val="ad"/>
        <w:spacing w:after="160" w:line="360" w:lineRule="auto"/>
        <w:jc w:val="both"/>
        <w:rPr>
          <w:rFonts w:ascii="David" w:hAnsi="David"/>
          <w:noProof w:val="0"/>
        </w:rPr>
      </w:pPr>
    </w:p>
    <w:p w:rsidR="00BD5614" w:rsidRDefault="00BD5614" w:rsidP="00A72778">
      <w:pPr>
        <w:pStyle w:val="ad"/>
        <w:numPr>
          <w:ilvl w:val="0"/>
          <w:numId w:val="1"/>
        </w:numPr>
        <w:spacing w:after="160" w:line="360" w:lineRule="auto"/>
        <w:jc w:val="both"/>
        <w:rPr>
          <w:rFonts w:ascii="David" w:hAnsi="David"/>
          <w:noProof w:val="0"/>
        </w:rPr>
      </w:pPr>
      <w:r>
        <w:rPr>
          <w:rFonts w:ascii="David" w:hAnsi="David"/>
          <w:noProof w:val="0"/>
          <w:rtl/>
        </w:rPr>
        <w:t>לגופו של</w:t>
      </w:r>
      <w:r w:rsidR="00A72778">
        <w:rPr>
          <w:rFonts w:ascii="David" w:hAnsi="David"/>
          <w:noProof w:val="0"/>
          <w:rtl/>
        </w:rPr>
        <w:t xml:space="preserve"> עניין, העורר ט</w:t>
      </w:r>
      <w:r>
        <w:rPr>
          <w:rFonts w:ascii="David" w:hAnsi="David"/>
          <w:noProof w:val="0"/>
          <w:rtl/>
        </w:rPr>
        <w:t xml:space="preserve">ען כי מדובר בהסכם אמיתי, שאינו פיקטיבי או מלאכותי, שנחתם שנים לפני רכישת הדירות ונועד להגן על בת הזוג מפני הסיכונים הכלכליים שלקח על עצמו במסגרת עסקיו. משום שהזכויות בדירה הראשונה רשומות על שם בת הזוג בלבד, סבור </w:t>
      </w:r>
      <w:r w:rsidR="00A72778">
        <w:rPr>
          <w:rFonts w:ascii="David" w:hAnsi="David" w:hint="cs"/>
          <w:noProof w:val="0"/>
          <w:rtl/>
        </w:rPr>
        <w:t xml:space="preserve">העורר </w:t>
      </w:r>
      <w:r>
        <w:rPr>
          <w:rFonts w:ascii="David" w:hAnsi="David"/>
          <w:noProof w:val="0"/>
          <w:rtl/>
        </w:rPr>
        <w:t xml:space="preserve">כי הוכחה הפרדה רכושית. </w:t>
      </w:r>
    </w:p>
    <w:p w:rsidR="00921214" w:rsidRDefault="00921214" w:rsidP="00921214">
      <w:pPr>
        <w:pStyle w:val="ad"/>
        <w:spacing w:after="160" w:line="360" w:lineRule="auto"/>
        <w:jc w:val="both"/>
        <w:rPr>
          <w:rFonts w:ascii="David" w:hAnsi="David"/>
          <w:noProof w:val="0"/>
        </w:rPr>
      </w:pPr>
    </w:p>
    <w:p w:rsidR="00BD5614" w:rsidRDefault="00BD5614" w:rsidP="00A72778">
      <w:pPr>
        <w:pStyle w:val="ad"/>
        <w:numPr>
          <w:ilvl w:val="0"/>
          <w:numId w:val="1"/>
        </w:numPr>
        <w:spacing w:after="160" w:line="360" w:lineRule="auto"/>
        <w:jc w:val="both"/>
        <w:rPr>
          <w:rFonts w:ascii="David" w:hAnsi="David"/>
          <w:noProof w:val="0"/>
        </w:rPr>
      </w:pPr>
      <w:r>
        <w:rPr>
          <w:rFonts w:ascii="David" w:hAnsi="David"/>
          <w:noProof w:val="0"/>
          <w:rtl/>
        </w:rPr>
        <w:t xml:space="preserve">בנוסף לכך, העורר טען כי למעלה מן הצורך, גם בחינת התנהלותם השוטפת </w:t>
      </w:r>
      <w:r w:rsidR="00A72778">
        <w:rPr>
          <w:rFonts w:ascii="David" w:hAnsi="David" w:hint="cs"/>
          <w:noProof w:val="0"/>
          <w:rtl/>
        </w:rPr>
        <w:t xml:space="preserve">של רעייתו ושלו </w:t>
      </w:r>
      <w:r>
        <w:rPr>
          <w:rFonts w:ascii="David" w:hAnsi="David"/>
          <w:noProof w:val="0"/>
          <w:rtl/>
        </w:rPr>
        <w:t>מוכיחה הפרדה רכושית וסותרת את חזקת התא המשפחתי:</w:t>
      </w:r>
    </w:p>
    <w:p w:rsidR="00BD5614" w:rsidRDefault="00BD5614" w:rsidP="00BD5614">
      <w:pPr>
        <w:pStyle w:val="ad"/>
        <w:numPr>
          <w:ilvl w:val="0"/>
          <w:numId w:val="2"/>
        </w:numPr>
        <w:spacing w:after="160" w:line="360" w:lineRule="auto"/>
        <w:jc w:val="both"/>
        <w:rPr>
          <w:rFonts w:ascii="David" w:hAnsi="David"/>
          <w:noProof w:val="0"/>
          <w:rtl/>
        </w:rPr>
      </w:pPr>
      <w:r>
        <w:rPr>
          <w:rFonts w:ascii="David" w:hAnsi="David"/>
          <w:noProof w:val="0"/>
          <w:u w:val="single"/>
          <w:rtl/>
        </w:rPr>
        <w:t>חשבונות בנק נפרדים</w:t>
      </w:r>
      <w:r>
        <w:rPr>
          <w:rFonts w:ascii="David" w:hAnsi="David"/>
          <w:noProof w:val="0"/>
          <w:rtl/>
        </w:rPr>
        <w:t xml:space="preserve"> – לטענת העורר, הוא ובת הזוג שמרו על הפרדה מלאה בחשבונות הבנק. העורר העביר באופן חד צדדי מידי שנה סכום של כ-130,000 ₪ לחשבון בת הזוג, זאת בעבור דמי שכירות על מגוריו בדירתה והשתתפותו בהוצאות הבית והילדים.</w:t>
      </w:r>
    </w:p>
    <w:p w:rsidR="00BD5614" w:rsidRDefault="00BD5614" w:rsidP="00063E90">
      <w:pPr>
        <w:pStyle w:val="ad"/>
        <w:numPr>
          <w:ilvl w:val="0"/>
          <w:numId w:val="2"/>
        </w:numPr>
        <w:spacing w:after="160" w:line="360" w:lineRule="auto"/>
        <w:jc w:val="both"/>
        <w:rPr>
          <w:rFonts w:ascii="David" w:hAnsi="David"/>
          <w:noProof w:val="0"/>
        </w:rPr>
      </w:pPr>
      <w:r>
        <w:rPr>
          <w:rFonts w:ascii="David" w:hAnsi="David"/>
          <w:noProof w:val="0"/>
          <w:u w:val="single"/>
          <w:rtl/>
        </w:rPr>
        <w:t>רכישת הדירה הראשונה</w:t>
      </w:r>
      <w:r>
        <w:rPr>
          <w:rFonts w:ascii="David" w:hAnsi="David"/>
          <w:noProof w:val="0"/>
          <w:rtl/>
        </w:rPr>
        <w:t xml:space="preserve"> – לטענת העורר, הדירה הראשונה נרכשה על ידי בת הזוג ללא השתתפות מצדו. בת הזוג מימנה את הדירה באמצעות מכירת זכויותיה בדירה ברחוב קורדובירו, באמצעות משכורתה (שלטענתו באותה העת הייתה גבוהה) ובאמצעות תמיכתו השנתית אותה הוא </w:t>
      </w:r>
      <w:r w:rsidR="00A72778">
        <w:rPr>
          <w:rFonts w:ascii="David" w:hAnsi="David" w:hint="cs"/>
          <w:noProof w:val="0"/>
          <w:rtl/>
        </w:rPr>
        <w:t>שילם</w:t>
      </w:r>
      <w:r>
        <w:rPr>
          <w:rFonts w:ascii="David" w:hAnsi="David"/>
          <w:noProof w:val="0"/>
          <w:rtl/>
        </w:rPr>
        <w:t xml:space="preserve"> בעבור דמי שכירות על דירתה וההוצאות השוטפות</w:t>
      </w:r>
      <w:r w:rsidR="00063E90">
        <w:rPr>
          <w:rFonts w:ascii="David" w:hAnsi="David" w:hint="cs"/>
          <w:noProof w:val="0"/>
          <w:rtl/>
        </w:rPr>
        <w:t xml:space="preserve"> לגידול חמשת ילדיהם של בני הזוג</w:t>
      </w:r>
      <w:r>
        <w:rPr>
          <w:rFonts w:ascii="David" w:hAnsi="David"/>
          <w:noProof w:val="0"/>
          <w:rtl/>
        </w:rPr>
        <w:t xml:space="preserve">. לטענתו, גם </w:t>
      </w:r>
      <w:r w:rsidR="00063E90">
        <w:rPr>
          <w:rFonts w:ascii="David" w:hAnsi="David" w:hint="cs"/>
          <w:noProof w:val="0"/>
          <w:rtl/>
        </w:rPr>
        <w:t xml:space="preserve">בתמורת </w:t>
      </w:r>
      <w:r>
        <w:rPr>
          <w:rFonts w:ascii="David" w:hAnsi="David"/>
          <w:noProof w:val="0"/>
          <w:rtl/>
        </w:rPr>
        <w:t xml:space="preserve">המחסן </w:t>
      </w:r>
      <w:r w:rsidR="00063E90">
        <w:rPr>
          <w:rFonts w:ascii="David" w:hAnsi="David" w:hint="cs"/>
          <w:noProof w:val="0"/>
          <w:rtl/>
        </w:rPr>
        <w:t>נשאה</w:t>
      </w:r>
      <w:r>
        <w:rPr>
          <w:rFonts w:ascii="David" w:hAnsi="David"/>
          <w:noProof w:val="0"/>
          <w:rtl/>
        </w:rPr>
        <w:t xml:space="preserve"> בת הזוג, שכן מחיר המחסן קוזז מהסכום השנתי אותו הוא </w:t>
      </w:r>
      <w:r w:rsidR="00A72778">
        <w:rPr>
          <w:rFonts w:ascii="David" w:hAnsi="David" w:hint="cs"/>
          <w:noProof w:val="0"/>
          <w:rtl/>
        </w:rPr>
        <w:t>ה</w:t>
      </w:r>
      <w:r>
        <w:rPr>
          <w:rFonts w:ascii="David" w:hAnsi="David"/>
          <w:noProof w:val="0"/>
          <w:rtl/>
        </w:rPr>
        <w:t>עביר</w:t>
      </w:r>
      <w:r w:rsidR="00A72778">
        <w:rPr>
          <w:rFonts w:ascii="David" w:hAnsi="David" w:hint="cs"/>
          <w:noProof w:val="0"/>
          <w:rtl/>
        </w:rPr>
        <w:t xml:space="preserve"> </w:t>
      </w:r>
      <w:r w:rsidR="00063E90">
        <w:rPr>
          <w:rFonts w:ascii="David" w:hAnsi="David" w:hint="cs"/>
          <w:noProof w:val="0"/>
          <w:rtl/>
        </w:rPr>
        <w:t xml:space="preserve">לבת הזוג </w:t>
      </w:r>
      <w:r w:rsidR="00A72778">
        <w:rPr>
          <w:rFonts w:ascii="David" w:hAnsi="David" w:hint="cs"/>
          <w:noProof w:val="0"/>
          <w:rtl/>
        </w:rPr>
        <w:t>בשנת 2017</w:t>
      </w:r>
      <w:r>
        <w:rPr>
          <w:rFonts w:ascii="David" w:hAnsi="David"/>
          <w:noProof w:val="0"/>
          <w:rtl/>
        </w:rPr>
        <w:t xml:space="preserve">. יתרה מכך, </w:t>
      </w:r>
      <w:r w:rsidR="00063E90">
        <w:rPr>
          <w:rFonts w:ascii="David" w:hAnsi="David" w:hint="cs"/>
          <w:noProof w:val="0"/>
          <w:rtl/>
        </w:rPr>
        <w:t xml:space="preserve">נטען כי </w:t>
      </w:r>
      <w:r>
        <w:rPr>
          <w:rFonts w:ascii="David" w:hAnsi="David"/>
          <w:noProof w:val="0"/>
          <w:rtl/>
        </w:rPr>
        <w:t xml:space="preserve">אף אם היה </w:t>
      </w:r>
      <w:r w:rsidR="00063E90">
        <w:rPr>
          <w:rFonts w:ascii="David" w:hAnsi="David" w:hint="cs"/>
          <w:noProof w:val="0"/>
          <w:rtl/>
        </w:rPr>
        <w:t xml:space="preserve">העורר </w:t>
      </w:r>
      <w:r>
        <w:rPr>
          <w:rFonts w:ascii="David" w:hAnsi="David"/>
          <w:noProof w:val="0"/>
          <w:rtl/>
        </w:rPr>
        <w:t>רוכש את המחסן, אין בכך לסתור את חריג ההפרדה</w:t>
      </w:r>
      <w:r w:rsidR="00063E90">
        <w:rPr>
          <w:rFonts w:ascii="David" w:hAnsi="David" w:hint="cs"/>
          <w:noProof w:val="0"/>
          <w:rtl/>
        </w:rPr>
        <w:t xml:space="preserve"> </w:t>
      </w:r>
      <w:r w:rsidR="00063E90">
        <w:rPr>
          <w:rFonts w:ascii="David" w:hAnsi="David" w:hint="cs"/>
          <w:noProof w:val="0"/>
          <w:rtl/>
        </w:rPr>
        <w:lastRenderedPageBreak/>
        <w:t>הרכושית</w:t>
      </w:r>
      <w:r>
        <w:rPr>
          <w:rFonts w:ascii="David" w:hAnsi="David"/>
          <w:noProof w:val="0"/>
          <w:rtl/>
        </w:rPr>
        <w:t xml:space="preserve">, שכן בעניין </w:t>
      </w:r>
      <w:r w:rsidRPr="00063E90">
        <w:rPr>
          <w:rFonts w:ascii="David" w:hAnsi="David"/>
          <w:b/>
          <w:bCs/>
          <w:noProof w:val="0"/>
          <w:rtl/>
        </w:rPr>
        <w:t xml:space="preserve">בלנק </w:t>
      </w:r>
      <w:r>
        <w:rPr>
          <w:rFonts w:ascii="David" w:hAnsi="David"/>
          <w:noProof w:val="0"/>
          <w:rtl/>
        </w:rPr>
        <w:t>נקבע כי עצם ההשקעה של בן זוג אחד בדירה של בן זוג אחר אינה פוגעת בהפרדה הרכושית.</w:t>
      </w:r>
    </w:p>
    <w:p w:rsidR="00BD5614" w:rsidRDefault="00BD5614" w:rsidP="00BD5614">
      <w:pPr>
        <w:pStyle w:val="ad"/>
        <w:numPr>
          <w:ilvl w:val="0"/>
          <w:numId w:val="2"/>
        </w:numPr>
        <w:spacing w:after="160" w:line="360" w:lineRule="auto"/>
        <w:jc w:val="both"/>
        <w:rPr>
          <w:rFonts w:ascii="David" w:hAnsi="David"/>
          <w:noProof w:val="0"/>
        </w:rPr>
      </w:pPr>
      <w:r>
        <w:rPr>
          <w:rFonts w:ascii="David" w:hAnsi="David"/>
          <w:noProof w:val="0"/>
          <w:u w:val="single"/>
          <w:rtl/>
        </w:rPr>
        <w:t>מגורים משותפים ונישואין ראשונים</w:t>
      </w:r>
      <w:r>
        <w:rPr>
          <w:rFonts w:ascii="David" w:hAnsi="David"/>
          <w:noProof w:val="0"/>
          <w:rtl/>
        </w:rPr>
        <w:t xml:space="preserve"> – לטענת העורר, העובדה שמדובר בנישואיהם הראשונים ושהם מתגוררים ביחד אינה רלוונטית ואינה פוגעת בהפרדה הרכושית, בהתאם לקביעה בעניין </w:t>
      </w:r>
      <w:r w:rsidRPr="003D1D52">
        <w:rPr>
          <w:rFonts w:ascii="David" w:hAnsi="David"/>
          <w:b/>
          <w:bCs/>
          <w:noProof w:val="0"/>
          <w:rtl/>
        </w:rPr>
        <w:t>בלנק</w:t>
      </w:r>
      <w:r>
        <w:rPr>
          <w:rFonts w:ascii="David" w:hAnsi="David"/>
          <w:noProof w:val="0"/>
          <w:rtl/>
        </w:rPr>
        <w:t>.</w:t>
      </w:r>
    </w:p>
    <w:p w:rsidR="00921214" w:rsidRDefault="00921214" w:rsidP="00921214">
      <w:pPr>
        <w:pStyle w:val="ad"/>
        <w:spacing w:after="160" w:line="360" w:lineRule="auto"/>
        <w:ind w:left="1080"/>
        <w:jc w:val="both"/>
        <w:rPr>
          <w:rFonts w:ascii="David" w:hAnsi="David"/>
          <w:noProof w:val="0"/>
        </w:rPr>
      </w:pPr>
    </w:p>
    <w:p w:rsidR="00BD5614" w:rsidRDefault="00BD5614" w:rsidP="005E6591">
      <w:pPr>
        <w:pStyle w:val="ad"/>
        <w:numPr>
          <w:ilvl w:val="0"/>
          <w:numId w:val="1"/>
        </w:numPr>
        <w:spacing w:after="160" w:line="360" w:lineRule="auto"/>
        <w:jc w:val="both"/>
        <w:rPr>
          <w:rtl/>
        </w:rPr>
      </w:pPr>
      <w:r>
        <w:rPr>
          <w:rFonts w:ascii="David" w:hAnsi="David"/>
          <w:noProof w:val="0"/>
          <w:rtl/>
        </w:rPr>
        <w:t>בנוסף</w:t>
      </w:r>
      <w:r w:rsidR="00A72778">
        <w:rPr>
          <w:rFonts w:ascii="David" w:hAnsi="David" w:hint="cs"/>
          <w:noProof w:val="0"/>
          <w:rtl/>
        </w:rPr>
        <w:t>,</w:t>
      </w:r>
      <w:r>
        <w:rPr>
          <w:rFonts w:ascii="David" w:hAnsi="David"/>
          <w:noProof w:val="0"/>
          <w:rtl/>
        </w:rPr>
        <w:t xml:space="preserve"> טען העורר כי יש לזקוף לח</w:t>
      </w:r>
      <w:r w:rsidR="005E6591">
        <w:rPr>
          <w:rFonts w:ascii="David" w:hAnsi="David" w:hint="cs"/>
          <w:noProof w:val="0"/>
          <w:rtl/>
        </w:rPr>
        <w:t>ו</w:t>
      </w:r>
      <w:r>
        <w:rPr>
          <w:rFonts w:ascii="David" w:hAnsi="David"/>
          <w:noProof w:val="0"/>
          <w:rtl/>
        </w:rPr>
        <w:t>בת המשיב את הע</w:t>
      </w:r>
      <w:r w:rsidR="005E6591">
        <w:rPr>
          <w:rFonts w:ascii="David" w:hAnsi="David" w:hint="cs"/>
          <w:noProof w:val="0"/>
          <w:rtl/>
        </w:rPr>
        <w:t>ו</w:t>
      </w:r>
      <w:r>
        <w:rPr>
          <w:rFonts w:ascii="David" w:hAnsi="David"/>
          <w:noProof w:val="0"/>
          <w:rtl/>
        </w:rPr>
        <w:t xml:space="preserve">בדה שלא העיד את המפקח אשר טיפל בתיק, וכי יש לפסוק הוצאות משמעותיות כנגד המשיב </w:t>
      </w:r>
      <w:r>
        <w:rPr>
          <w:rtl/>
        </w:rPr>
        <w:t xml:space="preserve">בשל התעקשותו לנהל את ההליך. כמו כן, </w:t>
      </w:r>
      <w:r>
        <w:rPr>
          <w:rFonts w:ascii="David" w:hAnsi="David"/>
          <w:noProof w:val="0"/>
          <w:rtl/>
        </w:rPr>
        <w:t xml:space="preserve">העורר חזר על טענתו המקדמית לפיה החלטת המשיב התקבלה במועד מאוחר מזה הקבוע בחוק. </w:t>
      </w:r>
      <w:r w:rsidR="00A72778">
        <w:rPr>
          <w:rFonts w:ascii="David" w:hAnsi="David" w:hint="cs"/>
          <w:noProof w:val="0"/>
          <w:rtl/>
        </w:rPr>
        <w:t xml:space="preserve">כאמור לעיל, </w:t>
      </w:r>
      <w:r>
        <w:rPr>
          <w:rFonts w:ascii="David" w:hAnsi="David"/>
          <w:noProof w:val="0"/>
          <w:rtl/>
        </w:rPr>
        <w:t>טענה זו נדונה ונדחתה בהחלטה מי</w:t>
      </w:r>
      <w:r w:rsidR="00A72778">
        <w:rPr>
          <w:rFonts w:ascii="David" w:hAnsi="David"/>
          <w:noProof w:val="0"/>
          <w:rtl/>
        </w:rPr>
        <w:t>ום 6.6.21, ומשכך לא תידון בשנית</w:t>
      </w:r>
      <w:r w:rsidR="00A72778">
        <w:rPr>
          <w:rFonts w:ascii="David" w:hAnsi="David" w:hint="cs"/>
          <w:noProof w:val="0"/>
          <w:rtl/>
        </w:rPr>
        <w:t xml:space="preserve"> במסגרת פסק הדין.</w:t>
      </w:r>
    </w:p>
    <w:p w:rsidR="00BD5614" w:rsidRDefault="00BD5614" w:rsidP="00BD5614">
      <w:pPr>
        <w:spacing w:line="360" w:lineRule="auto"/>
        <w:jc w:val="both"/>
        <w:rPr>
          <w:rFonts w:ascii="David" w:hAnsi="David"/>
          <w:b/>
          <w:bCs/>
          <w:u w:val="single"/>
        </w:rPr>
      </w:pPr>
    </w:p>
    <w:p w:rsidR="00BD5614" w:rsidRDefault="00BD5614" w:rsidP="00BD5614">
      <w:pPr>
        <w:spacing w:line="360" w:lineRule="auto"/>
        <w:jc w:val="both"/>
        <w:rPr>
          <w:rFonts w:ascii="David" w:hAnsi="David"/>
          <w:b/>
          <w:bCs/>
          <w:u w:val="single"/>
          <w:rtl/>
        </w:rPr>
      </w:pPr>
      <w:r>
        <w:rPr>
          <w:rFonts w:ascii="David" w:hAnsi="David"/>
          <w:b/>
          <w:bCs/>
          <w:u w:val="single"/>
          <w:rtl/>
        </w:rPr>
        <w:t>טענות המשיב (בתמצית)</w:t>
      </w:r>
    </w:p>
    <w:p w:rsidR="00921214" w:rsidRDefault="00921214" w:rsidP="00BD5614">
      <w:pPr>
        <w:spacing w:line="360" w:lineRule="auto"/>
        <w:jc w:val="both"/>
        <w:rPr>
          <w:rFonts w:ascii="David" w:hAnsi="David"/>
          <w:b/>
          <w:bCs/>
          <w:u w:val="single"/>
          <w:rtl/>
        </w:rPr>
      </w:pPr>
    </w:p>
    <w:p w:rsidR="00BD5614" w:rsidRDefault="00BD5614" w:rsidP="00A72778">
      <w:pPr>
        <w:pStyle w:val="ad"/>
        <w:numPr>
          <w:ilvl w:val="0"/>
          <w:numId w:val="1"/>
        </w:numPr>
        <w:spacing w:after="160" w:line="360" w:lineRule="auto"/>
        <w:jc w:val="both"/>
        <w:rPr>
          <w:rFonts w:ascii="David" w:hAnsi="David"/>
          <w:noProof w:val="0"/>
        </w:rPr>
      </w:pPr>
      <w:r>
        <w:rPr>
          <w:rFonts w:ascii="David" w:hAnsi="David"/>
          <w:noProof w:val="0"/>
          <w:rtl/>
        </w:rPr>
        <w:t>המשיב ח</w:t>
      </w:r>
      <w:r w:rsidR="00A72778">
        <w:rPr>
          <w:rFonts w:ascii="David" w:hAnsi="David"/>
          <w:noProof w:val="0"/>
          <w:rtl/>
        </w:rPr>
        <w:t>לק על פרשנות</w:t>
      </w:r>
      <w:r>
        <w:rPr>
          <w:rFonts w:ascii="David" w:hAnsi="David"/>
          <w:noProof w:val="0"/>
          <w:rtl/>
        </w:rPr>
        <w:t xml:space="preserve"> העורר לעניין </w:t>
      </w:r>
      <w:r w:rsidRPr="004E5C6D">
        <w:rPr>
          <w:rFonts w:ascii="David" w:hAnsi="David"/>
          <w:b/>
          <w:bCs/>
          <w:noProof w:val="0"/>
          <w:rtl/>
        </w:rPr>
        <w:t>בלנק</w:t>
      </w:r>
      <w:r>
        <w:rPr>
          <w:rFonts w:ascii="David" w:hAnsi="David"/>
          <w:noProof w:val="0"/>
          <w:rtl/>
        </w:rPr>
        <w:t xml:space="preserve">. לטענתו, לא די בהוכחת קיומו של הסכם ממון שאינו פיקטיבי או מלאכותי, ויש להוכיח בנוסף לכך יישום בפועל של ההפרדה הרכושית ביחס לנכסי המקרקעין. </w:t>
      </w:r>
    </w:p>
    <w:p w:rsidR="00921214" w:rsidRDefault="00921214" w:rsidP="00921214">
      <w:pPr>
        <w:pStyle w:val="ad"/>
        <w:spacing w:after="160" w:line="360" w:lineRule="auto"/>
        <w:jc w:val="both"/>
        <w:rPr>
          <w:rFonts w:ascii="David" w:hAnsi="David"/>
          <w:noProof w:val="0"/>
          <w:rtl/>
        </w:rPr>
      </w:pPr>
    </w:p>
    <w:p w:rsidR="00BD5614" w:rsidRDefault="00BD5614" w:rsidP="00BD5614">
      <w:pPr>
        <w:pStyle w:val="ad"/>
        <w:numPr>
          <w:ilvl w:val="0"/>
          <w:numId w:val="1"/>
        </w:numPr>
        <w:spacing w:after="160" w:line="360" w:lineRule="auto"/>
        <w:jc w:val="both"/>
        <w:rPr>
          <w:rFonts w:ascii="David" w:hAnsi="David"/>
          <w:noProof w:val="0"/>
        </w:rPr>
      </w:pPr>
      <w:r>
        <w:rPr>
          <w:rFonts w:ascii="David" w:hAnsi="David"/>
          <w:noProof w:val="0"/>
          <w:rtl/>
        </w:rPr>
        <w:t>לטענת המשיב, מדובר בחוזה פיקטיבי שאינו מיושם בפועל. לטענתו, חרף קיומו של הסכם המ</w:t>
      </w:r>
      <w:r w:rsidR="00A72778">
        <w:rPr>
          <w:rFonts w:ascii="David" w:hAnsi="David"/>
          <w:noProof w:val="0"/>
          <w:rtl/>
        </w:rPr>
        <w:t xml:space="preserve">צהיר על הפרדה רכושית, בפועל לא </w:t>
      </w:r>
      <w:r w:rsidR="00A72778">
        <w:rPr>
          <w:rFonts w:ascii="David" w:hAnsi="David" w:hint="cs"/>
          <w:noProof w:val="0"/>
          <w:rtl/>
        </w:rPr>
        <w:t>ה</w:t>
      </w:r>
      <w:r w:rsidR="00A72778">
        <w:rPr>
          <w:rFonts w:ascii="David" w:hAnsi="David"/>
          <w:noProof w:val="0"/>
          <w:rtl/>
        </w:rPr>
        <w:t>תקיימ</w:t>
      </w:r>
      <w:r w:rsidR="00A72778">
        <w:rPr>
          <w:rFonts w:ascii="David" w:hAnsi="David" w:hint="cs"/>
          <w:noProof w:val="0"/>
          <w:rtl/>
        </w:rPr>
        <w:t>ה</w:t>
      </w:r>
      <w:r>
        <w:rPr>
          <w:rFonts w:ascii="David" w:hAnsi="David"/>
          <w:noProof w:val="0"/>
          <w:rtl/>
        </w:rPr>
        <w:t xml:space="preserve"> הפרדה כזו בין בני הזוג. העדר ההפרדה נלמד לטענתו מהעובדות הבאות:</w:t>
      </w:r>
    </w:p>
    <w:p w:rsidR="00BD5614" w:rsidRDefault="00BD5614" w:rsidP="00BD5614">
      <w:pPr>
        <w:pStyle w:val="ad"/>
        <w:numPr>
          <w:ilvl w:val="0"/>
          <w:numId w:val="3"/>
        </w:numPr>
        <w:spacing w:after="160" w:line="360" w:lineRule="auto"/>
        <w:jc w:val="both"/>
        <w:rPr>
          <w:rFonts w:ascii="David" w:hAnsi="David"/>
          <w:noProof w:val="0"/>
        </w:rPr>
      </w:pPr>
      <w:r>
        <w:rPr>
          <w:rFonts w:ascii="David" w:hAnsi="David"/>
          <w:noProof w:val="0"/>
          <w:u w:val="single"/>
          <w:rtl/>
        </w:rPr>
        <w:t>שיתוף הדירה ברחוב קורדובירו</w:t>
      </w:r>
      <w:r>
        <w:rPr>
          <w:rFonts w:ascii="David" w:hAnsi="David"/>
          <w:noProof w:val="0"/>
          <w:rtl/>
        </w:rPr>
        <w:t xml:space="preserve"> – לטענת המשיב, רישום הזכויות בדירה ברחוב קורדובירו בשותפות על שם אמו של העורר ובת הזוג, כמו גם העובדה שקיבל מכתבי עדכון מאת "קבוצת קורדובירו גבעת שאול" מלמדים על שיתוף בזכויות.</w:t>
      </w:r>
    </w:p>
    <w:p w:rsidR="00BD5614" w:rsidRDefault="00BD5614" w:rsidP="00786287">
      <w:pPr>
        <w:pStyle w:val="ad"/>
        <w:numPr>
          <w:ilvl w:val="0"/>
          <w:numId w:val="3"/>
        </w:numPr>
        <w:spacing w:after="160" w:line="360" w:lineRule="auto"/>
        <w:jc w:val="both"/>
        <w:rPr>
          <w:rFonts w:ascii="David" w:hAnsi="David"/>
          <w:noProof w:val="0"/>
        </w:rPr>
      </w:pPr>
      <w:r>
        <w:rPr>
          <w:rFonts w:ascii="David" w:hAnsi="David"/>
          <w:noProof w:val="0"/>
          <w:u w:val="single"/>
          <w:rtl/>
        </w:rPr>
        <w:t>רכישת הדירה הראשונה</w:t>
      </w:r>
      <w:r>
        <w:rPr>
          <w:rFonts w:ascii="David" w:hAnsi="David"/>
          <w:noProof w:val="0"/>
          <w:rtl/>
        </w:rPr>
        <w:t xml:space="preserve"> – המשיב סבור כי הדירה הראשונה הינה דירה בבעלות משותפת של בני הזוג. </w:t>
      </w:r>
      <w:r>
        <w:rPr>
          <w:rFonts w:ascii="David" w:hAnsi="David"/>
          <w:b/>
          <w:bCs/>
          <w:noProof w:val="0"/>
          <w:rtl/>
        </w:rPr>
        <w:t>ראשית,</w:t>
      </w:r>
      <w:r>
        <w:rPr>
          <w:rFonts w:ascii="David" w:hAnsi="David"/>
          <w:noProof w:val="0"/>
          <w:rtl/>
        </w:rPr>
        <w:t xml:space="preserve"> בניגוד להצהרתו, העורר חתום יחד עם בת הזוג על המשכנתא בדירה זו. העורר אף הודה בחקירתו </w:t>
      </w:r>
      <w:r w:rsidR="00786287">
        <w:rPr>
          <w:rFonts w:ascii="David" w:hAnsi="David" w:hint="cs"/>
          <w:noProof w:val="0"/>
          <w:rtl/>
        </w:rPr>
        <w:t xml:space="preserve">הנגדית </w:t>
      </w:r>
      <w:r>
        <w:rPr>
          <w:rFonts w:ascii="David" w:hAnsi="David"/>
          <w:noProof w:val="0"/>
          <w:rtl/>
        </w:rPr>
        <w:t xml:space="preserve">כי הוא הגיש את הבקשה להלוואה וטיפל בכל המסמכים, וכי הבנק הסכים להלוואה רק בשל היכרותו עם העורר. </w:t>
      </w:r>
      <w:r>
        <w:rPr>
          <w:rFonts w:ascii="David" w:hAnsi="David"/>
          <w:b/>
          <w:bCs/>
          <w:noProof w:val="0"/>
          <w:rtl/>
        </w:rPr>
        <w:t>שנית,</w:t>
      </w:r>
      <w:r>
        <w:rPr>
          <w:rFonts w:ascii="David" w:hAnsi="David"/>
          <w:noProof w:val="0"/>
          <w:rtl/>
        </w:rPr>
        <w:t xml:space="preserve"> לטענת המשיב לבת הזוג </w:t>
      </w:r>
      <w:r w:rsidR="00786287">
        <w:rPr>
          <w:rFonts w:ascii="David" w:hAnsi="David" w:hint="cs"/>
          <w:noProof w:val="0"/>
          <w:rtl/>
        </w:rPr>
        <w:t xml:space="preserve">לא הייתה </w:t>
      </w:r>
      <w:r>
        <w:rPr>
          <w:rFonts w:ascii="David" w:hAnsi="David"/>
          <w:noProof w:val="0"/>
          <w:rtl/>
        </w:rPr>
        <w:t xml:space="preserve">יכולת כלכלית לממן את רכישת הדירה, ומכאן מתחייבת </w:t>
      </w:r>
      <w:r w:rsidR="00786287">
        <w:rPr>
          <w:rFonts w:ascii="David" w:hAnsi="David" w:hint="cs"/>
          <w:noProof w:val="0"/>
          <w:rtl/>
        </w:rPr>
        <w:t xml:space="preserve">מסקנה בדבר </w:t>
      </w:r>
      <w:r>
        <w:rPr>
          <w:rFonts w:ascii="David" w:hAnsi="David"/>
          <w:noProof w:val="0"/>
          <w:rtl/>
        </w:rPr>
        <w:t xml:space="preserve">השתתפות העורר. </w:t>
      </w:r>
      <w:r>
        <w:rPr>
          <w:rFonts w:ascii="David" w:hAnsi="David"/>
          <w:b/>
          <w:bCs/>
          <w:noProof w:val="0"/>
          <w:rtl/>
        </w:rPr>
        <w:t>שלישית,</w:t>
      </w:r>
      <w:r>
        <w:rPr>
          <w:rFonts w:ascii="David" w:hAnsi="David"/>
          <w:noProof w:val="0"/>
          <w:rtl/>
        </w:rPr>
        <w:t xml:space="preserve"> </w:t>
      </w:r>
      <w:r w:rsidR="00786287">
        <w:rPr>
          <w:rFonts w:ascii="David" w:hAnsi="David" w:hint="cs"/>
          <w:noProof w:val="0"/>
          <w:rtl/>
        </w:rPr>
        <w:t>המשיב</w:t>
      </w:r>
      <w:r>
        <w:rPr>
          <w:rFonts w:ascii="David" w:hAnsi="David"/>
          <w:noProof w:val="0"/>
          <w:rtl/>
        </w:rPr>
        <w:t xml:space="preserve"> סבור כי העובדה שבעת רכישת הדירה הנוספת דיווחו בני הזוג לרשויות המס כי מדובר בדירה נוספת מלמדת על שיתוף ביחס לדירה הראשונה. </w:t>
      </w:r>
    </w:p>
    <w:p w:rsidR="00BD5614" w:rsidRDefault="00BD5614" w:rsidP="00786287">
      <w:pPr>
        <w:pStyle w:val="ad"/>
        <w:spacing w:after="160" w:line="360" w:lineRule="auto"/>
        <w:ind w:left="1440"/>
        <w:jc w:val="both"/>
        <w:rPr>
          <w:rFonts w:ascii="David" w:hAnsi="David"/>
          <w:noProof w:val="0"/>
        </w:rPr>
      </w:pPr>
      <w:r>
        <w:rPr>
          <w:rFonts w:ascii="David" w:hAnsi="David"/>
          <w:noProof w:val="0"/>
          <w:rtl/>
        </w:rPr>
        <w:t xml:space="preserve">בנוסף, המשיב טען כי מחסן הדירה נרכש באופן מובהק על ידי העורר. טענת העורר לפיה קוזז מחיר המחסן מהתשלום השנתי אינה מתיישבת עם הסכומים המדוברים. </w:t>
      </w:r>
      <w:r>
        <w:rPr>
          <w:rFonts w:ascii="David" w:hAnsi="David"/>
          <w:noProof w:val="0"/>
          <w:rtl/>
        </w:rPr>
        <w:lastRenderedPageBreak/>
        <w:t xml:space="preserve">מחיר המחסן עמד על כ-93,300 ₪, ומשכך היה על העורר להעביר לבת הזוג באותה שנה 36,700 ₪ ולא 70,000 כפי שהעביר בפועל. </w:t>
      </w:r>
    </w:p>
    <w:p w:rsidR="00BD5614" w:rsidRDefault="00BD5614" w:rsidP="003D1D52">
      <w:pPr>
        <w:pStyle w:val="ad"/>
        <w:numPr>
          <w:ilvl w:val="0"/>
          <w:numId w:val="3"/>
        </w:numPr>
        <w:spacing w:after="160" w:line="360" w:lineRule="auto"/>
        <w:jc w:val="both"/>
        <w:rPr>
          <w:rFonts w:ascii="David" w:hAnsi="David"/>
          <w:noProof w:val="0"/>
        </w:rPr>
      </w:pPr>
      <w:r>
        <w:rPr>
          <w:rFonts w:ascii="David" w:hAnsi="David"/>
          <w:noProof w:val="0"/>
          <w:u w:val="single"/>
          <w:rtl/>
        </w:rPr>
        <w:t>רכישת הדירה הנוספת</w:t>
      </w:r>
      <w:r>
        <w:rPr>
          <w:rFonts w:ascii="David" w:hAnsi="David"/>
          <w:noProof w:val="0"/>
          <w:rtl/>
        </w:rPr>
        <w:t xml:space="preserve"> – העורר הודה בחקירתו </w:t>
      </w:r>
      <w:r w:rsidR="00786287">
        <w:rPr>
          <w:rFonts w:ascii="David" w:hAnsi="David" w:hint="cs"/>
          <w:noProof w:val="0"/>
          <w:rtl/>
        </w:rPr>
        <w:t xml:space="preserve">הנגדית </w:t>
      </w:r>
      <w:r>
        <w:rPr>
          <w:rFonts w:ascii="David" w:hAnsi="David"/>
          <w:noProof w:val="0"/>
          <w:rtl/>
        </w:rPr>
        <w:t xml:space="preserve">כי הוא </w:t>
      </w:r>
      <w:r w:rsidR="003D1D52">
        <w:rPr>
          <w:rFonts w:ascii="David" w:hAnsi="David" w:hint="cs"/>
          <w:noProof w:val="0"/>
          <w:rtl/>
        </w:rPr>
        <w:t>מימן</w:t>
      </w:r>
      <w:r w:rsidR="00786287">
        <w:rPr>
          <w:rFonts w:ascii="David" w:hAnsi="David" w:hint="cs"/>
          <w:noProof w:val="0"/>
          <w:rtl/>
        </w:rPr>
        <w:t xml:space="preserve"> </w:t>
      </w:r>
      <w:r>
        <w:rPr>
          <w:rFonts w:ascii="David" w:hAnsi="David"/>
          <w:noProof w:val="0"/>
          <w:rtl/>
        </w:rPr>
        <w:t xml:space="preserve">לבדו </w:t>
      </w:r>
      <w:r w:rsidR="003D1D52">
        <w:rPr>
          <w:rFonts w:ascii="David" w:hAnsi="David" w:hint="cs"/>
          <w:noProof w:val="0"/>
          <w:rtl/>
        </w:rPr>
        <w:t xml:space="preserve">את המשכנתה </w:t>
      </w:r>
      <w:r>
        <w:rPr>
          <w:rFonts w:ascii="David" w:hAnsi="David"/>
          <w:noProof w:val="0"/>
          <w:rtl/>
        </w:rPr>
        <w:t xml:space="preserve">על הדירה הנוספת, זאת בניגוד לטענה קודמת להשתתפות בת הזוג. </w:t>
      </w:r>
      <w:r w:rsidR="00786287">
        <w:rPr>
          <w:rFonts w:ascii="David" w:hAnsi="David" w:hint="cs"/>
          <w:noProof w:val="0"/>
          <w:rtl/>
        </w:rPr>
        <w:t xml:space="preserve">נטען כי </w:t>
      </w:r>
      <w:r>
        <w:rPr>
          <w:rFonts w:ascii="David" w:hAnsi="David"/>
          <w:noProof w:val="0"/>
          <w:rtl/>
        </w:rPr>
        <w:t xml:space="preserve">דירה הרשומה על שם שני בני הזוג, כאשר בפועל רק אחד משלם עליה, סותרת את קיומו בפועל של הסכם הפרדת הרכוש. </w:t>
      </w:r>
    </w:p>
    <w:p w:rsidR="00BD5614" w:rsidRDefault="00BD5614" w:rsidP="00786287">
      <w:pPr>
        <w:pStyle w:val="ad"/>
        <w:numPr>
          <w:ilvl w:val="0"/>
          <w:numId w:val="3"/>
        </w:numPr>
        <w:spacing w:after="160" w:line="360" w:lineRule="auto"/>
        <w:jc w:val="both"/>
        <w:rPr>
          <w:rFonts w:ascii="David" w:hAnsi="David"/>
          <w:noProof w:val="0"/>
        </w:rPr>
      </w:pPr>
      <w:r>
        <w:rPr>
          <w:rFonts w:ascii="David" w:hAnsi="David"/>
          <w:noProof w:val="0"/>
          <w:u w:val="single"/>
          <w:rtl/>
        </w:rPr>
        <w:t xml:space="preserve">חשבונות בנק </w:t>
      </w:r>
      <w:r w:rsidR="00786287">
        <w:rPr>
          <w:rFonts w:ascii="David" w:hAnsi="David" w:hint="cs"/>
          <w:noProof w:val="0"/>
          <w:u w:val="single"/>
          <w:rtl/>
        </w:rPr>
        <w:t xml:space="preserve">נפרדים </w:t>
      </w:r>
      <w:r>
        <w:rPr>
          <w:rFonts w:ascii="David" w:hAnsi="David"/>
          <w:noProof w:val="0"/>
          <w:u w:val="single"/>
          <w:rtl/>
        </w:rPr>
        <w:t>והעבר</w:t>
      </w:r>
      <w:r w:rsidR="00786287">
        <w:rPr>
          <w:rFonts w:ascii="David" w:hAnsi="David" w:hint="cs"/>
          <w:noProof w:val="0"/>
          <w:u w:val="single"/>
          <w:rtl/>
        </w:rPr>
        <w:t>ו</w:t>
      </w:r>
      <w:r>
        <w:rPr>
          <w:rFonts w:ascii="David" w:hAnsi="David"/>
          <w:noProof w:val="0"/>
          <w:u w:val="single"/>
          <w:rtl/>
        </w:rPr>
        <w:t>ת כספים</w:t>
      </w:r>
      <w:r>
        <w:rPr>
          <w:rFonts w:ascii="David" w:hAnsi="David"/>
          <w:noProof w:val="0"/>
          <w:rtl/>
        </w:rPr>
        <w:t xml:space="preserve"> – לטענת המשיב, לא מתקיימת הפרדה שכן העורר מיופה כוח בחשבון בת הזוג ואף הצהיר שהוא זה שמנהל את העניינים האדמיניסטרטיביים בחשבון הבנק של בת הזוג. בנוסף לכך, </w:t>
      </w:r>
      <w:r w:rsidR="00786287">
        <w:rPr>
          <w:rFonts w:ascii="David" w:hAnsi="David" w:hint="cs"/>
          <w:noProof w:val="0"/>
          <w:rtl/>
        </w:rPr>
        <w:t>המשיב</w:t>
      </w:r>
      <w:r w:rsidR="00786287">
        <w:rPr>
          <w:rFonts w:ascii="David" w:hAnsi="David"/>
          <w:noProof w:val="0"/>
          <w:rtl/>
        </w:rPr>
        <w:t xml:space="preserve"> ט</w:t>
      </w:r>
      <w:r>
        <w:rPr>
          <w:rFonts w:ascii="David" w:hAnsi="David"/>
          <w:noProof w:val="0"/>
          <w:rtl/>
        </w:rPr>
        <w:t xml:space="preserve">ען כי לא ניתן לעמוד על הפרדה מוחלטת שכן לא התקבל דיווח שלם על חשבונות הבנק של בני הזוג. כמו כן, המשיב טען כי גם אם לעורר </w:t>
      </w:r>
      <w:r w:rsidR="00786287">
        <w:rPr>
          <w:rFonts w:ascii="David" w:hAnsi="David"/>
          <w:noProof w:val="0"/>
          <w:rtl/>
        </w:rPr>
        <w:t xml:space="preserve">ובת הזוג חשבונות נפרדים, בפועל </w:t>
      </w:r>
      <w:r w:rsidR="00786287">
        <w:rPr>
          <w:rFonts w:ascii="David" w:hAnsi="David" w:hint="cs"/>
          <w:noProof w:val="0"/>
          <w:rtl/>
        </w:rPr>
        <w:t>ה</w:t>
      </w:r>
      <w:r w:rsidR="00786287">
        <w:rPr>
          <w:rFonts w:ascii="David" w:hAnsi="David"/>
          <w:noProof w:val="0"/>
          <w:rtl/>
        </w:rPr>
        <w:t>תבצע "ערבוב"</w:t>
      </w:r>
      <w:r w:rsidR="00786287">
        <w:rPr>
          <w:rFonts w:ascii="David" w:hAnsi="David" w:hint="cs"/>
          <w:noProof w:val="0"/>
          <w:rtl/>
        </w:rPr>
        <w:t xml:space="preserve"> בכך</w:t>
      </w:r>
      <w:r>
        <w:rPr>
          <w:rFonts w:ascii="David" w:hAnsi="David"/>
          <w:noProof w:val="0"/>
          <w:rtl/>
        </w:rPr>
        <w:t xml:space="preserve"> </w:t>
      </w:r>
      <w:r w:rsidR="00786287">
        <w:rPr>
          <w:rFonts w:ascii="David" w:hAnsi="David" w:hint="cs"/>
          <w:noProof w:val="0"/>
          <w:rtl/>
        </w:rPr>
        <w:t>ש</w:t>
      </w:r>
      <w:r>
        <w:rPr>
          <w:rFonts w:ascii="David" w:hAnsi="David"/>
          <w:noProof w:val="0"/>
          <w:rtl/>
        </w:rPr>
        <w:t xml:space="preserve">העורר </w:t>
      </w:r>
      <w:r w:rsidR="00786287">
        <w:rPr>
          <w:rFonts w:ascii="David" w:hAnsi="David" w:hint="cs"/>
          <w:noProof w:val="0"/>
          <w:rtl/>
        </w:rPr>
        <w:t>ה</w:t>
      </w:r>
      <w:r>
        <w:rPr>
          <w:rFonts w:ascii="David" w:hAnsi="David"/>
          <w:noProof w:val="0"/>
          <w:rtl/>
        </w:rPr>
        <w:t>עביר לבת הזוג סכומי כסף גבוהים בכל פעם שחשבונה נכנס למינוס. לטענת המשיב, העורר לא הוכיח כי מדובר בהתחשבנות בעבור דמי השכירות והוצאות הבית והילדים ולא הציג את פרטי ההתחשבנות הנטענת. עוד ציין המ</w:t>
      </w:r>
      <w:r w:rsidR="00C73CCF">
        <w:rPr>
          <w:rFonts w:ascii="David" w:hAnsi="David"/>
          <w:noProof w:val="0"/>
          <w:rtl/>
        </w:rPr>
        <w:t>שיב כי הסכום השנתי הנטען נמוך מ</w:t>
      </w:r>
      <w:r>
        <w:rPr>
          <w:rFonts w:ascii="David" w:hAnsi="David"/>
          <w:noProof w:val="0"/>
          <w:rtl/>
        </w:rPr>
        <w:t xml:space="preserve">די בשביל לכסות את חלקו </w:t>
      </w:r>
      <w:r w:rsidR="00C73CCF">
        <w:rPr>
          <w:rFonts w:ascii="David" w:hAnsi="David" w:hint="cs"/>
          <w:noProof w:val="0"/>
          <w:rtl/>
        </w:rPr>
        <w:t xml:space="preserve">של העורר </w:t>
      </w:r>
      <w:r>
        <w:rPr>
          <w:rFonts w:ascii="David" w:hAnsi="David"/>
          <w:noProof w:val="0"/>
          <w:rtl/>
        </w:rPr>
        <w:t>בשכר הדירה ובהוצאות השוטפות.</w:t>
      </w:r>
    </w:p>
    <w:p w:rsidR="00921214" w:rsidRDefault="00921214" w:rsidP="00921214">
      <w:pPr>
        <w:pStyle w:val="ad"/>
        <w:spacing w:after="160" w:line="360" w:lineRule="auto"/>
        <w:ind w:left="1440"/>
        <w:jc w:val="both"/>
        <w:rPr>
          <w:rFonts w:ascii="David" w:hAnsi="David"/>
          <w:noProof w:val="0"/>
        </w:rPr>
      </w:pPr>
    </w:p>
    <w:p w:rsidR="00BD5614" w:rsidRDefault="00BD5614" w:rsidP="00C73CCF">
      <w:pPr>
        <w:pStyle w:val="ad"/>
        <w:numPr>
          <w:ilvl w:val="0"/>
          <w:numId w:val="1"/>
        </w:numPr>
        <w:spacing w:after="160" w:line="360" w:lineRule="auto"/>
        <w:jc w:val="both"/>
        <w:rPr>
          <w:rFonts w:ascii="David" w:hAnsi="David"/>
        </w:rPr>
      </w:pPr>
      <w:r>
        <w:rPr>
          <w:rFonts w:ascii="David" w:hAnsi="David"/>
          <w:rtl/>
        </w:rPr>
        <w:t xml:space="preserve">לבסוף טען המשיב כי נטל ההוכחה להוכיח את חריג ההפרה הרכושית חל על העורר, וכי העורר לא עמד בו. </w:t>
      </w:r>
    </w:p>
    <w:p w:rsidR="00BD5614" w:rsidRDefault="00BD5614" w:rsidP="00BD5614">
      <w:pPr>
        <w:spacing w:line="360" w:lineRule="auto"/>
        <w:jc w:val="both"/>
        <w:rPr>
          <w:rFonts w:ascii="David" w:hAnsi="David"/>
          <w:b/>
          <w:bCs/>
          <w:u w:val="single"/>
          <w:rtl/>
        </w:rPr>
      </w:pPr>
      <w:r>
        <w:rPr>
          <w:rFonts w:ascii="David" w:hAnsi="David"/>
          <w:b/>
          <w:bCs/>
          <w:u w:val="single"/>
          <w:rtl/>
        </w:rPr>
        <w:t>דיון והכרעה</w:t>
      </w:r>
    </w:p>
    <w:p w:rsidR="00921214" w:rsidRDefault="00921214" w:rsidP="00BD5614">
      <w:pPr>
        <w:spacing w:line="360" w:lineRule="auto"/>
        <w:jc w:val="both"/>
        <w:rPr>
          <w:rFonts w:ascii="David" w:hAnsi="David"/>
          <w:b/>
          <w:bCs/>
          <w:u w:val="single"/>
        </w:rPr>
      </w:pPr>
    </w:p>
    <w:p w:rsidR="00BD5614" w:rsidRDefault="00BD5614" w:rsidP="00C73CCF">
      <w:pPr>
        <w:pStyle w:val="ad"/>
        <w:numPr>
          <w:ilvl w:val="0"/>
          <w:numId w:val="1"/>
        </w:numPr>
        <w:spacing w:after="160" w:line="360" w:lineRule="auto"/>
        <w:jc w:val="both"/>
        <w:rPr>
          <w:rFonts w:ascii="David" w:hAnsi="David"/>
          <w:noProof w:val="0"/>
        </w:rPr>
      </w:pPr>
      <w:r>
        <w:rPr>
          <w:rFonts w:ascii="David" w:hAnsi="David"/>
          <w:rtl/>
        </w:rPr>
        <w:t xml:space="preserve">סעיף 9(א) לחוק </w:t>
      </w:r>
      <w:r>
        <w:rPr>
          <w:rFonts w:ascii="David" w:hAnsi="David"/>
          <w:noProof w:val="0"/>
          <w:rtl/>
        </w:rPr>
        <w:t>קובע כי "</w:t>
      </w:r>
      <w:r>
        <w:rPr>
          <w:rFonts w:ascii="David" w:hAnsi="David"/>
          <w:b/>
          <w:bCs/>
          <w:noProof w:val="0"/>
          <w:rtl/>
        </w:rPr>
        <w:t>במכירת זכות במקרקעין יהא הרוכש חייב במס רכישת מקרקעין</w:t>
      </w:r>
      <w:r>
        <w:rPr>
          <w:rFonts w:ascii="David" w:hAnsi="David"/>
          <w:noProof w:val="0"/>
          <w:rtl/>
        </w:rPr>
        <w:t xml:space="preserve">". </w:t>
      </w:r>
    </w:p>
    <w:p w:rsidR="00921214" w:rsidRDefault="00921214" w:rsidP="00921214">
      <w:pPr>
        <w:pStyle w:val="ad"/>
        <w:spacing w:after="160" w:line="360" w:lineRule="auto"/>
        <w:jc w:val="both"/>
        <w:rPr>
          <w:rFonts w:ascii="David" w:hAnsi="David"/>
          <w:noProof w:val="0"/>
        </w:rPr>
      </w:pPr>
    </w:p>
    <w:p w:rsidR="00BD5614" w:rsidRDefault="00BD5614" w:rsidP="00BD5614">
      <w:pPr>
        <w:pStyle w:val="ad"/>
        <w:numPr>
          <w:ilvl w:val="0"/>
          <w:numId w:val="1"/>
        </w:numPr>
        <w:spacing w:after="160" w:line="360" w:lineRule="auto"/>
        <w:jc w:val="both"/>
        <w:rPr>
          <w:rFonts w:ascii="David" w:hAnsi="David"/>
          <w:noProof w:val="0"/>
        </w:rPr>
      </w:pPr>
      <w:r>
        <w:rPr>
          <w:rFonts w:ascii="David" w:hAnsi="David"/>
          <w:noProof w:val="0"/>
          <w:rtl/>
        </w:rPr>
        <w:t xml:space="preserve">בהמשך קובע החוק בסעיפים 9(ג1ג)(2)(א) ו-9(ג1ג)(3) דרגות מס </w:t>
      </w:r>
      <w:r w:rsidR="00C73CCF">
        <w:rPr>
          <w:rFonts w:ascii="David" w:hAnsi="David" w:hint="cs"/>
          <w:noProof w:val="0"/>
          <w:rtl/>
        </w:rPr>
        <w:t xml:space="preserve">רכישה </w:t>
      </w:r>
      <w:r>
        <w:rPr>
          <w:rFonts w:ascii="David" w:hAnsi="David"/>
          <w:noProof w:val="0"/>
          <w:rtl/>
        </w:rPr>
        <w:t>מופחתות, בהתקיים תנאים מסוימים, בין היתר</w:t>
      </w:r>
      <w:r w:rsidR="00C73CCF">
        <w:rPr>
          <w:rFonts w:ascii="David" w:hAnsi="David" w:hint="cs"/>
          <w:noProof w:val="0"/>
          <w:rtl/>
        </w:rPr>
        <w:t>,</w:t>
      </w:r>
      <w:r>
        <w:rPr>
          <w:rFonts w:ascii="David" w:hAnsi="David"/>
          <w:noProof w:val="0"/>
          <w:rtl/>
        </w:rPr>
        <w:t xml:space="preserve"> בעבור רוכש יחיד שזוהי דירתו היחידה.</w:t>
      </w:r>
    </w:p>
    <w:p w:rsidR="00921214" w:rsidRDefault="00921214" w:rsidP="00921214">
      <w:pPr>
        <w:pStyle w:val="ad"/>
        <w:spacing w:after="160" w:line="360" w:lineRule="auto"/>
        <w:jc w:val="both"/>
        <w:rPr>
          <w:rFonts w:ascii="David" w:hAnsi="David"/>
          <w:noProof w:val="0"/>
        </w:rPr>
      </w:pPr>
    </w:p>
    <w:p w:rsidR="00BD5614" w:rsidRDefault="00BD5614" w:rsidP="00BD5614">
      <w:pPr>
        <w:pStyle w:val="ad"/>
        <w:numPr>
          <w:ilvl w:val="0"/>
          <w:numId w:val="1"/>
        </w:numPr>
        <w:spacing w:after="160" w:line="360" w:lineRule="auto"/>
        <w:jc w:val="both"/>
        <w:rPr>
          <w:rFonts w:ascii="David" w:hAnsi="David"/>
          <w:noProof w:val="0"/>
        </w:rPr>
      </w:pPr>
      <w:r>
        <w:rPr>
          <w:rFonts w:ascii="David" w:hAnsi="David"/>
          <w:noProof w:val="0"/>
          <w:rtl/>
        </w:rPr>
        <w:t xml:space="preserve">סעיף 9(ג1ג)(4)(ג) לחוק קובע את "כלל התא המשפחתי" לפיו בני זוג וילדיהם מהווים רוכש אחד לעניין דרגות המס המופחתות. </w:t>
      </w:r>
      <w:r>
        <w:rPr>
          <w:rFonts w:ascii="David" w:hAnsi="David"/>
          <w:rtl/>
        </w:rPr>
        <w:t>יחד עם זאת, המחוקק הכיר בחריגים לכלל התא המשפחתי, ובהם בני זוג הגרים בנפרד דרך קבע וילדים שטרם מלאו להם 18, למעט ילד נשוי או ילד יתום:</w:t>
      </w:r>
    </w:p>
    <w:p w:rsidR="00BD5614" w:rsidRDefault="00BD5614" w:rsidP="00BD5614">
      <w:pPr>
        <w:pStyle w:val="ad"/>
        <w:spacing w:after="160" w:line="360" w:lineRule="auto"/>
        <w:jc w:val="both"/>
        <w:rPr>
          <w:rFonts w:ascii="David" w:hAnsi="David"/>
          <w:noProof w:val="0"/>
          <w:rtl/>
        </w:rPr>
      </w:pPr>
      <w:r>
        <w:rPr>
          <w:rFonts w:ascii="David" w:hAnsi="David"/>
          <w:noProof w:val="0"/>
          <w:rtl/>
        </w:rPr>
        <w:t>"</w:t>
      </w:r>
      <w:r>
        <w:rPr>
          <w:rFonts w:ascii="David" w:hAnsi="David"/>
          <w:b/>
          <w:bCs/>
          <w:noProof w:val="0"/>
          <w:rtl/>
        </w:rPr>
        <w:t>יראו רוכש ובן זוגו, למעט בן הזוג הגר בדרך קבע בנפרד, וילדיהם שטרם מלאו להם 18 שנים, למעט ילד נשוי או ילד יתום מאחד או משני הוריו – כרוכש אחד</w:t>
      </w:r>
      <w:r>
        <w:rPr>
          <w:rFonts w:ascii="David" w:hAnsi="David"/>
          <w:noProof w:val="0"/>
          <w:rtl/>
        </w:rPr>
        <w:t>".</w:t>
      </w:r>
    </w:p>
    <w:p w:rsidR="00921214" w:rsidRDefault="00921214" w:rsidP="00BD5614">
      <w:pPr>
        <w:pStyle w:val="ad"/>
        <w:spacing w:after="160" w:line="360" w:lineRule="auto"/>
        <w:jc w:val="both"/>
        <w:rPr>
          <w:rFonts w:ascii="David" w:hAnsi="David"/>
          <w:noProof w:val="0"/>
        </w:rPr>
      </w:pPr>
    </w:p>
    <w:p w:rsidR="00BD5614" w:rsidRDefault="00BD5614" w:rsidP="003D1D52">
      <w:pPr>
        <w:pStyle w:val="ad"/>
        <w:numPr>
          <w:ilvl w:val="0"/>
          <w:numId w:val="1"/>
        </w:numPr>
        <w:spacing w:after="160" w:line="360" w:lineRule="auto"/>
        <w:jc w:val="both"/>
        <w:rPr>
          <w:rFonts w:ascii="David" w:hAnsi="David"/>
        </w:rPr>
      </w:pPr>
      <w:r>
        <w:rPr>
          <w:rFonts w:ascii="David" w:hAnsi="David"/>
          <w:rtl/>
        </w:rPr>
        <w:lastRenderedPageBreak/>
        <w:t xml:space="preserve">בעבר, הפסיקה נהגה לפרש את כלל התא המשפחתי בפרשנות דווקנית (ע"א 3489/99 </w:t>
      </w:r>
      <w:r w:rsidRPr="00C73CCF">
        <w:rPr>
          <w:rFonts w:ascii="David" w:hAnsi="David"/>
          <w:b/>
          <w:bCs/>
          <w:rtl/>
        </w:rPr>
        <w:t>מנהל מס שבח מקרקעין חיפה נ' עברי</w:t>
      </w:r>
      <w:r w:rsidR="003D1D52">
        <w:rPr>
          <w:rFonts w:ascii="David" w:hAnsi="David" w:hint="cs"/>
          <w:rtl/>
        </w:rPr>
        <w:t>, פ"ד</w:t>
      </w:r>
      <w:r>
        <w:rPr>
          <w:rFonts w:ascii="David" w:hAnsi="David"/>
          <w:rtl/>
        </w:rPr>
        <w:t xml:space="preserve"> נז(5) 589 (2003) להלן: "</w:t>
      </w:r>
      <w:r>
        <w:rPr>
          <w:rFonts w:ascii="David" w:hAnsi="David"/>
          <w:b/>
          <w:bCs/>
          <w:rtl/>
        </w:rPr>
        <w:t>עניין עברי</w:t>
      </w:r>
      <w:r>
        <w:rPr>
          <w:rFonts w:ascii="David" w:hAnsi="David"/>
          <w:rtl/>
        </w:rPr>
        <w:t xml:space="preserve">"), אך בהמשך הכלל רוכך כאשר הפסיקה הוסיפה שני חריגים נוספים – חריג המטען ההיסטורי וחריג ההפרדה הרכושית. בנוסף קבעה הפסיקה כי מדובר בחזקה הניתנת לסתירה (ע"א 3178/12 </w:t>
      </w:r>
      <w:r w:rsidRPr="00C73CCF">
        <w:rPr>
          <w:rFonts w:ascii="David" w:hAnsi="David"/>
          <w:b/>
          <w:bCs/>
          <w:rtl/>
        </w:rPr>
        <w:t>שלמי נ' מנהל מיסוי מקרקעין נתניה</w:t>
      </w:r>
      <w:r>
        <w:rPr>
          <w:rFonts w:ascii="David" w:hAnsi="David"/>
          <w:rtl/>
        </w:rPr>
        <w:t xml:space="preserve"> (2014) (להלן: "</w:t>
      </w:r>
      <w:r>
        <w:rPr>
          <w:rFonts w:ascii="David" w:hAnsi="David"/>
          <w:b/>
          <w:bCs/>
          <w:rtl/>
        </w:rPr>
        <w:t>עניין שלמי</w:t>
      </w:r>
      <w:r>
        <w:rPr>
          <w:rFonts w:ascii="David" w:hAnsi="David"/>
          <w:rtl/>
        </w:rPr>
        <w:t xml:space="preserve">"); ע"ש (מחוזי באר שבע) 2979/97 </w:t>
      </w:r>
      <w:r w:rsidRPr="00C73CCF">
        <w:rPr>
          <w:rFonts w:ascii="David" w:hAnsi="David"/>
          <w:b/>
          <w:bCs/>
          <w:rtl/>
        </w:rPr>
        <w:t>מור נ' מנהל מס שבח מקרקעין באר שבע</w:t>
      </w:r>
      <w:r>
        <w:rPr>
          <w:rFonts w:ascii="David" w:hAnsi="David"/>
          <w:rtl/>
        </w:rPr>
        <w:t xml:space="preserve"> (1998) (להלן: "</w:t>
      </w:r>
      <w:r>
        <w:rPr>
          <w:rFonts w:ascii="David" w:hAnsi="David"/>
          <w:b/>
          <w:bCs/>
          <w:rtl/>
        </w:rPr>
        <w:t>עניין מור</w:t>
      </w:r>
      <w:r>
        <w:rPr>
          <w:rFonts w:ascii="David" w:hAnsi="David"/>
          <w:rtl/>
        </w:rPr>
        <w:t xml:space="preserve">"); ע"א 3185/03 </w:t>
      </w:r>
      <w:r w:rsidRPr="00C73CCF">
        <w:rPr>
          <w:rFonts w:ascii="David" w:hAnsi="David"/>
          <w:b/>
          <w:bCs/>
          <w:rtl/>
        </w:rPr>
        <w:t>מנהל מס שבח מקרקעין מרכז נ' פלם</w:t>
      </w:r>
      <w:r>
        <w:rPr>
          <w:rFonts w:ascii="David" w:hAnsi="David"/>
          <w:rtl/>
        </w:rPr>
        <w:t xml:space="preserve">, </w:t>
      </w:r>
      <w:r w:rsidR="003D1D52">
        <w:rPr>
          <w:rFonts w:ascii="David" w:hAnsi="David" w:hint="cs"/>
          <w:rtl/>
        </w:rPr>
        <w:t xml:space="preserve">פ"ד </w:t>
      </w:r>
      <w:r>
        <w:rPr>
          <w:rFonts w:ascii="David" w:hAnsi="David"/>
          <w:rtl/>
        </w:rPr>
        <w:t>נט(1) 123 (2004 (להלן: "</w:t>
      </w:r>
      <w:r>
        <w:rPr>
          <w:rFonts w:ascii="David" w:hAnsi="David"/>
          <w:b/>
          <w:bCs/>
          <w:rtl/>
        </w:rPr>
        <w:t>עניין פלם</w:t>
      </w:r>
      <w:r>
        <w:rPr>
          <w:rFonts w:ascii="David" w:hAnsi="David"/>
          <w:rtl/>
        </w:rPr>
        <w:t xml:space="preserve">"; וכן </w:t>
      </w:r>
      <w:r>
        <w:rPr>
          <w:rFonts w:ascii="David" w:hAnsi="David"/>
          <w:b/>
          <w:bCs/>
          <w:rtl/>
        </w:rPr>
        <w:t>עניין</w:t>
      </w:r>
      <w:r>
        <w:rPr>
          <w:rFonts w:ascii="David" w:hAnsi="David"/>
          <w:rtl/>
        </w:rPr>
        <w:t xml:space="preserve"> </w:t>
      </w:r>
      <w:r>
        <w:rPr>
          <w:rFonts w:ascii="David" w:hAnsi="David"/>
          <w:b/>
          <w:bCs/>
          <w:rtl/>
        </w:rPr>
        <w:t>בלנק</w:t>
      </w:r>
      <w:r>
        <w:rPr>
          <w:rFonts w:ascii="David" w:hAnsi="David"/>
          <w:rtl/>
        </w:rPr>
        <w:t>):</w:t>
      </w:r>
    </w:p>
    <w:p w:rsidR="00921214" w:rsidRDefault="00921214" w:rsidP="00921214">
      <w:pPr>
        <w:pStyle w:val="ad"/>
        <w:spacing w:after="160" w:line="360" w:lineRule="auto"/>
        <w:jc w:val="both"/>
        <w:rPr>
          <w:rFonts w:ascii="David" w:hAnsi="David"/>
        </w:rPr>
      </w:pPr>
    </w:p>
    <w:p w:rsidR="00BD5614" w:rsidRDefault="00BD5614" w:rsidP="00C73CCF">
      <w:pPr>
        <w:pStyle w:val="ad"/>
        <w:numPr>
          <w:ilvl w:val="0"/>
          <w:numId w:val="1"/>
        </w:numPr>
        <w:spacing w:after="160" w:line="360" w:lineRule="auto"/>
        <w:jc w:val="both"/>
        <w:rPr>
          <w:rFonts w:ascii="David" w:hAnsi="David"/>
        </w:rPr>
      </w:pPr>
      <w:r>
        <w:rPr>
          <w:rFonts w:ascii="David" w:hAnsi="David"/>
          <w:u w:val="single"/>
          <w:rtl/>
        </w:rPr>
        <w:t>החריג הראשון – חריג המטען ההיסטורי</w:t>
      </w:r>
      <w:r w:rsidR="00C73CCF">
        <w:rPr>
          <w:rFonts w:ascii="David" w:hAnsi="David" w:hint="cs"/>
          <w:rtl/>
        </w:rPr>
        <w:t>,</w:t>
      </w:r>
      <w:r>
        <w:rPr>
          <w:rFonts w:ascii="David" w:hAnsi="David"/>
          <w:rtl/>
        </w:rPr>
        <w:t xml:space="preserve"> מכוח</w:t>
      </w:r>
      <w:r w:rsidR="00C73CCF">
        <w:rPr>
          <w:rFonts w:ascii="David" w:hAnsi="David" w:hint="cs"/>
          <w:rtl/>
        </w:rPr>
        <w:t>ו</w:t>
      </w:r>
      <w:r w:rsidR="00C73CCF">
        <w:rPr>
          <w:rFonts w:ascii="David" w:hAnsi="David"/>
          <w:rtl/>
        </w:rPr>
        <w:t xml:space="preserve"> אין מכירים בפ</w:t>
      </w:r>
      <w:r w:rsidR="00C73CCF">
        <w:rPr>
          <w:rFonts w:ascii="David" w:hAnsi="David" w:hint="cs"/>
          <w:rtl/>
        </w:rPr>
        <w:t>עו</w:t>
      </w:r>
      <w:r>
        <w:rPr>
          <w:rFonts w:ascii="David" w:hAnsi="David"/>
          <w:rtl/>
        </w:rPr>
        <w:t>לות אותן ביצע אחד מבני הזוג טרם הנישואין לצורך שלילת זכות או פטור הקיימת לבן הזוג האחר (</w:t>
      </w:r>
      <w:r>
        <w:rPr>
          <w:rFonts w:ascii="David" w:hAnsi="David"/>
          <w:b/>
          <w:bCs/>
          <w:rtl/>
        </w:rPr>
        <w:t>עניין מור</w:t>
      </w:r>
      <w:r>
        <w:rPr>
          <w:rFonts w:ascii="David" w:hAnsi="David"/>
          <w:rtl/>
        </w:rPr>
        <w:t xml:space="preserve"> ו</w:t>
      </w:r>
      <w:r>
        <w:rPr>
          <w:rFonts w:ascii="David" w:hAnsi="David"/>
          <w:b/>
          <w:bCs/>
          <w:rtl/>
        </w:rPr>
        <w:t>עניין פלם</w:t>
      </w:r>
      <w:r>
        <w:rPr>
          <w:rFonts w:ascii="David" w:hAnsi="David"/>
          <w:rtl/>
        </w:rPr>
        <w:t xml:space="preserve">). </w:t>
      </w:r>
    </w:p>
    <w:p w:rsidR="00921214" w:rsidRDefault="00921214" w:rsidP="00921214">
      <w:pPr>
        <w:pStyle w:val="ad"/>
        <w:spacing w:after="160" w:line="360" w:lineRule="auto"/>
        <w:jc w:val="both"/>
        <w:rPr>
          <w:rFonts w:ascii="David" w:hAnsi="David"/>
        </w:rPr>
      </w:pPr>
    </w:p>
    <w:p w:rsidR="00BD5614" w:rsidRDefault="00BD5614" w:rsidP="00BD5614">
      <w:pPr>
        <w:pStyle w:val="ad"/>
        <w:numPr>
          <w:ilvl w:val="0"/>
          <w:numId w:val="1"/>
        </w:numPr>
        <w:spacing w:after="160" w:line="360" w:lineRule="auto"/>
        <w:jc w:val="both"/>
        <w:rPr>
          <w:rFonts w:ascii="David" w:hAnsi="David"/>
        </w:rPr>
      </w:pPr>
      <w:r>
        <w:rPr>
          <w:rFonts w:ascii="David" w:hAnsi="David"/>
          <w:u w:val="single"/>
          <w:rtl/>
        </w:rPr>
        <w:t>החריג השני – חריג ההפרדה הרכושית</w:t>
      </w:r>
      <w:r w:rsidR="00C73CCF">
        <w:rPr>
          <w:rFonts w:ascii="David" w:hAnsi="David" w:hint="cs"/>
          <w:rtl/>
        </w:rPr>
        <w:t>,</w:t>
      </w:r>
      <w:r>
        <w:rPr>
          <w:rFonts w:ascii="David" w:hAnsi="David"/>
          <w:rtl/>
        </w:rPr>
        <w:t xml:space="preserve"> מכוחו אין רואים בני זוג כרוכש אחד כאשר מבחינה קניינית מקיימים בני הזוג הפרדה רכושית. ההפרדה יכולה להיות ביחס לכל או לחלק מנכסי המקרקעין שבבעולתם, ובלבד שמדובר בהפרדה המתקיימת הלכה למעשה (</w:t>
      </w:r>
      <w:r>
        <w:rPr>
          <w:rFonts w:ascii="David" w:hAnsi="David"/>
          <w:b/>
          <w:bCs/>
          <w:rtl/>
        </w:rPr>
        <w:t>עניין שלמי</w:t>
      </w:r>
      <w:r>
        <w:rPr>
          <w:rFonts w:ascii="David" w:hAnsi="David"/>
          <w:rtl/>
        </w:rPr>
        <w:t>). הפרדה רכושית מתקיימת הלכה למעשה כל עוד הסכם יחסי הממון לא היה פיקטיבי (למראית עין) או מלאכותי (נובע משיקולי מס) בעת שנערך, וכל עוד לא נזנח במהלך חיי הנישואין המשותפים (פסקאות 16-17 לפסק דינו של השופט גרוסקופף ב</w:t>
      </w:r>
      <w:r>
        <w:rPr>
          <w:rFonts w:ascii="David" w:hAnsi="David"/>
          <w:b/>
          <w:bCs/>
          <w:rtl/>
        </w:rPr>
        <w:t>עניין בלנק</w:t>
      </w:r>
      <w:r>
        <w:rPr>
          <w:rFonts w:ascii="David" w:hAnsi="David"/>
          <w:rtl/>
        </w:rPr>
        <w:t>).</w:t>
      </w:r>
    </w:p>
    <w:p w:rsidR="00921214" w:rsidRDefault="00921214" w:rsidP="00921214">
      <w:pPr>
        <w:pStyle w:val="ad"/>
        <w:spacing w:after="160" w:line="360" w:lineRule="auto"/>
        <w:jc w:val="both"/>
        <w:rPr>
          <w:rFonts w:ascii="David" w:hAnsi="David"/>
          <w:rtl/>
        </w:rPr>
      </w:pPr>
    </w:p>
    <w:p w:rsidR="00BD5614" w:rsidRDefault="003D1D52" w:rsidP="00BD5614">
      <w:pPr>
        <w:pStyle w:val="ad"/>
        <w:numPr>
          <w:ilvl w:val="0"/>
          <w:numId w:val="1"/>
        </w:numPr>
        <w:spacing w:after="160" w:line="360" w:lineRule="auto"/>
        <w:jc w:val="both"/>
        <w:rPr>
          <w:rFonts w:ascii="David" w:hAnsi="David"/>
        </w:rPr>
      </w:pPr>
      <w:r>
        <w:rPr>
          <w:rFonts w:ascii="David" w:hAnsi="David" w:hint="cs"/>
          <w:rtl/>
        </w:rPr>
        <w:t xml:space="preserve">בפסק הדין </w:t>
      </w:r>
      <w:r w:rsidR="00C73CCF" w:rsidRPr="003D1D52">
        <w:rPr>
          <w:rFonts w:ascii="David" w:hAnsi="David"/>
          <w:b/>
          <w:bCs/>
          <w:rtl/>
        </w:rPr>
        <w:t>בעניין בלנק</w:t>
      </w:r>
      <w:r w:rsidR="00C73CCF">
        <w:rPr>
          <w:rFonts w:ascii="David" w:hAnsi="David"/>
          <w:rtl/>
        </w:rPr>
        <w:t>, שניתן לאחר</w:t>
      </w:r>
      <w:r w:rsidR="00C73CCF">
        <w:rPr>
          <w:rFonts w:ascii="David" w:hAnsi="David" w:hint="cs"/>
          <w:rtl/>
        </w:rPr>
        <w:t xml:space="preserve"> הגשת הערר</w:t>
      </w:r>
      <w:r w:rsidR="00BD5614">
        <w:rPr>
          <w:rFonts w:ascii="David" w:hAnsi="David"/>
          <w:rtl/>
        </w:rPr>
        <w:t>, הובהרו מספר נקודות:</w:t>
      </w:r>
    </w:p>
    <w:p w:rsidR="00BD5614" w:rsidRDefault="00BD5614" w:rsidP="00BD5614">
      <w:pPr>
        <w:pStyle w:val="ad"/>
        <w:spacing w:after="160" w:line="360" w:lineRule="auto"/>
        <w:jc w:val="both"/>
        <w:rPr>
          <w:rFonts w:ascii="David" w:hAnsi="David"/>
        </w:rPr>
      </w:pPr>
      <w:r>
        <w:rPr>
          <w:rFonts w:ascii="David" w:hAnsi="David"/>
          <w:rtl/>
        </w:rPr>
        <w:t>נקבע כי ניתן להסתפק בהפרדה רכושית "חלקית" המתמצה בהסכמה להפרדת הבעלות בנכסי מקרקעין, ואין צורך בהפרדה "מלאה" המתייחסת למכלול ההיבטים הכלכליים של התנהלות בני הזוג (פסקאות 18-19 לפסק דינו של השופט גרוסקופף ב</w:t>
      </w:r>
      <w:r>
        <w:rPr>
          <w:rFonts w:ascii="David" w:hAnsi="David"/>
          <w:b/>
          <w:bCs/>
          <w:rtl/>
        </w:rPr>
        <w:t>עניין בלנק</w:t>
      </w:r>
      <w:r>
        <w:rPr>
          <w:rFonts w:ascii="David" w:hAnsi="David"/>
          <w:rtl/>
        </w:rPr>
        <w:t xml:space="preserve">). </w:t>
      </w:r>
    </w:p>
    <w:p w:rsidR="00BD5614" w:rsidRDefault="00BD5614" w:rsidP="00BD5614">
      <w:pPr>
        <w:pStyle w:val="ad"/>
        <w:spacing w:after="160" w:line="360" w:lineRule="auto"/>
        <w:jc w:val="both"/>
        <w:rPr>
          <w:rFonts w:ascii="David" w:hAnsi="David"/>
        </w:rPr>
      </w:pPr>
      <w:r>
        <w:rPr>
          <w:rFonts w:ascii="David" w:hAnsi="David"/>
          <w:rtl/>
        </w:rPr>
        <w:t>כמו כן, נקבע כי אם הוכחה הפרדה רכושית מבחינה קניינית, אין במגורים בדירה המשותפת, ואף אין בהשבחת הנכס על ידי בן הזוג שאינו הבעלים, בכדי לשלול בהכרח את תחולתו של חריג ההפרדה הרכושית. הדבר תלוי במכלול ההסכמות והנסיבות שבין הצדדים (פסקאות 23-24 לפסק דינו של השופט גרוסקופף ב</w:t>
      </w:r>
      <w:r>
        <w:rPr>
          <w:rFonts w:ascii="David" w:hAnsi="David"/>
          <w:b/>
          <w:bCs/>
          <w:rtl/>
        </w:rPr>
        <w:t>עניין בלנק</w:t>
      </w:r>
      <w:r>
        <w:rPr>
          <w:rFonts w:ascii="David" w:hAnsi="David"/>
          <w:rtl/>
        </w:rPr>
        <w:t xml:space="preserve">). </w:t>
      </w:r>
    </w:p>
    <w:p w:rsidR="00C73CCF" w:rsidRDefault="00BD5614" w:rsidP="00BD5614">
      <w:pPr>
        <w:pStyle w:val="ad"/>
        <w:spacing w:after="160" w:line="360" w:lineRule="auto"/>
        <w:jc w:val="both"/>
        <w:rPr>
          <w:rFonts w:ascii="David" w:hAnsi="David"/>
          <w:rtl/>
        </w:rPr>
      </w:pPr>
      <w:r>
        <w:rPr>
          <w:rFonts w:ascii="David" w:hAnsi="David"/>
          <w:rtl/>
        </w:rPr>
        <w:t>עוד נקבע כי יש לפרש את המבחן המשפטי להחלת חריג ההפרדה הרכושית באופן שוויוני, ואין נפקות לשאלה אם מדובר בנישואים ראשונים או שניים, לגילים של בני הזוג או לפערים כלכליים ביניהם (פסקאות 24-26 לפסק דינו של השופט גרוסקופף ב</w:t>
      </w:r>
      <w:r>
        <w:rPr>
          <w:rFonts w:ascii="David" w:hAnsi="David"/>
          <w:b/>
          <w:bCs/>
          <w:rtl/>
        </w:rPr>
        <w:t>עניין בלנק</w:t>
      </w:r>
      <w:r>
        <w:rPr>
          <w:rFonts w:ascii="David" w:hAnsi="David"/>
          <w:rtl/>
        </w:rPr>
        <w:t>).</w:t>
      </w:r>
    </w:p>
    <w:p w:rsidR="00C73CCF" w:rsidRDefault="00C73CCF" w:rsidP="00BD5614">
      <w:pPr>
        <w:pStyle w:val="ad"/>
        <w:spacing w:after="160" w:line="360" w:lineRule="auto"/>
        <w:jc w:val="both"/>
        <w:rPr>
          <w:rFonts w:ascii="David" w:hAnsi="David"/>
          <w:rtl/>
        </w:rPr>
      </w:pPr>
      <w:r>
        <w:rPr>
          <w:rFonts w:ascii="David" w:hAnsi="David" w:hint="cs"/>
          <w:rtl/>
        </w:rPr>
        <w:t xml:space="preserve">בפסקה 29 לפסק דינו של כב' השופט גרוסקופף נקבע כך: </w:t>
      </w:r>
    </w:p>
    <w:p w:rsidR="00C73CCF" w:rsidRDefault="00C73CCF" w:rsidP="00BD5614">
      <w:pPr>
        <w:pStyle w:val="ad"/>
        <w:spacing w:after="160" w:line="360" w:lineRule="auto"/>
        <w:jc w:val="both"/>
        <w:rPr>
          <w:rFonts w:ascii="David" w:hAnsi="David"/>
          <w:rtl/>
        </w:rPr>
      </w:pPr>
    </w:p>
    <w:p w:rsidR="00BD5614" w:rsidRDefault="00C73CCF" w:rsidP="0053372C">
      <w:pPr>
        <w:pStyle w:val="ad"/>
        <w:spacing w:after="160" w:line="360" w:lineRule="auto"/>
        <w:ind w:left="1440"/>
        <w:jc w:val="both"/>
        <w:rPr>
          <w:rFonts w:ascii="David" w:hAnsi="David"/>
          <w:rtl/>
        </w:rPr>
      </w:pPr>
      <w:r>
        <w:rPr>
          <w:rFonts w:ascii="David" w:hAnsi="David" w:hint="cs"/>
          <w:b/>
          <w:bCs/>
          <w:rtl/>
        </w:rPr>
        <w:lastRenderedPageBreak/>
        <w:t xml:space="preserve">"כל עוד נקבע ההפרדה בהסכם יחסי ממון </w:t>
      </w:r>
      <w:r w:rsidRPr="003D1D52">
        <w:rPr>
          <w:rFonts w:ascii="David" w:hAnsi="David" w:hint="cs"/>
          <w:b/>
          <w:bCs/>
          <w:u w:val="single"/>
          <w:rtl/>
        </w:rPr>
        <w:t>ויושמה בפועל</w:t>
      </w:r>
      <w:r>
        <w:rPr>
          <w:rFonts w:ascii="David" w:hAnsi="David" w:hint="cs"/>
          <w:b/>
          <w:bCs/>
          <w:rtl/>
        </w:rPr>
        <w:t xml:space="preserve">, באופן שאינו מאפשר לסווגה כפיקטיבית, מלאכותית </w:t>
      </w:r>
      <w:r w:rsidRPr="003D1D52">
        <w:rPr>
          <w:rFonts w:ascii="David" w:hAnsi="David" w:hint="cs"/>
          <w:b/>
          <w:bCs/>
          <w:u w:val="single"/>
          <w:rtl/>
        </w:rPr>
        <w:t>או כ</w:t>
      </w:r>
      <w:r w:rsidR="0053372C" w:rsidRPr="003D1D52">
        <w:rPr>
          <w:rFonts w:ascii="David" w:hAnsi="David" w:hint="cs"/>
          <w:b/>
          <w:bCs/>
          <w:u w:val="single"/>
          <w:rtl/>
        </w:rPr>
        <w:t>זו שנזנחה</w:t>
      </w:r>
      <w:r w:rsidR="0053372C">
        <w:rPr>
          <w:rFonts w:ascii="David" w:hAnsi="David" w:hint="cs"/>
          <w:b/>
          <w:bCs/>
          <w:rtl/>
        </w:rPr>
        <w:t>, הרי שיש לכבדה"</w:t>
      </w:r>
      <w:r w:rsidR="003D1D52">
        <w:rPr>
          <w:rFonts w:ascii="David" w:hAnsi="David" w:hint="cs"/>
          <w:rtl/>
        </w:rPr>
        <w:t>[ההדגשות אינן במקור].</w:t>
      </w:r>
    </w:p>
    <w:p w:rsidR="00921214" w:rsidRDefault="00921214" w:rsidP="00BD5614">
      <w:pPr>
        <w:pStyle w:val="ad"/>
        <w:spacing w:after="160" w:line="360" w:lineRule="auto"/>
        <w:jc w:val="both"/>
        <w:rPr>
          <w:rFonts w:ascii="David" w:hAnsi="David"/>
          <w:rtl/>
        </w:rPr>
      </w:pPr>
    </w:p>
    <w:p w:rsidR="00BD5614" w:rsidRDefault="00BD5614" w:rsidP="00BD5614">
      <w:pPr>
        <w:pStyle w:val="ad"/>
        <w:numPr>
          <w:ilvl w:val="0"/>
          <w:numId w:val="1"/>
        </w:numPr>
        <w:spacing w:after="160" w:line="360" w:lineRule="auto"/>
        <w:jc w:val="both"/>
        <w:rPr>
          <w:rFonts w:ascii="David" w:hAnsi="David"/>
          <w:rtl/>
        </w:rPr>
      </w:pPr>
      <w:r>
        <w:rPr>
          <w:rFonts w:ascii="David" w:hAnsi="David"/>
          <w:rtl/>
        </w:rPr>
        <w:t>הנטל להוכחת חריג לכלל התא המשפחתי מוטל על כתפי הנישום:</w:t>
      </w:r>
    </w:p>
    <w:p w:rsidR="00BD5614" w:rsidRDefault="00BD5614" w:rsidP="00BD5614">
      <w:pPr>
        <w:pStyle w:val="ad"/>
        <w:spacing w:after="160" w:line="360" w:lineRule="auto"/>
        <w:jc w:val="both"/>
        <w:rPr>
          <w:rFonts w:ascii="David" w:hAnsi="David"/>
          <w:rtl/>
        </w:rPr>
      </w:pPr>
      <w:r>
        <w:rPr>
          <w:rFonts w:ascii="David" w:hAnsi="David"/>
          <w:b/>
          <w:bCs/>
          <w:rtl/>
        </w:rPr>
        <w:t>"...כיוון שמדובר בחזקה הניתנת לסתירה, רשאים בני הזוג לטעון כי חזקה זו נסתרת בעניינם הקונקרטי, ולשם כך עליהם להציג ראיות להוכחת טענתם. ודוק, הנטל לסתור את החזקה מוטל על הנישומים... החזקה תיסתר רק אם תובאנה ראיות ברורות להוכחת קיומה של הפרדה רכושית בפועל בין בני הזוג. במילים אחרות, בהיעדר תשתית עובדתית להוכחת ההפרדה הרכושית בפועל, רשאי המשיב לקבוע כי ה"פיקציה" המשפטית הקבועה בסעיף חלה על בני הזוג</w:t>
      </w:r>
      <w:r w:rsidRPr="0053372C">
        <w:rPr>
          <w:rFonts w:ascii="David" w:hAnsi="David"/>
          <w:b/>
          <w:bCs/>
          <w:rtl/>
        </w:rPr>
        <w:t>". (</w:t>
      </w:r>
      <w:r w:rsidRPr="003D1D52">
        <w:rPr>
          <w:rFonts w:ascii="David" w:hAnsi="David"/>
          <w:rtl/>
        </w:rPr>
        <w:t>פסקה 65 לפסק דינו של כבוד השופט דנציגר</w:t>
      </w:r>
      <w:r w:rsidRPr="0053372C">
        <w:rPr>
          <w:rFonts w:ascii="David" w:hAnsi="David"/>
          <w:b/>
          <w:bCs/>
          <w:rtl/>
        </w:rPr>
        <w:t xml:space="preserve"> בעניין</w:t>
      </w:r>
      <w:r>
        <w:rPr>
          <w:rFonts w:ascii="David" w:hAnsi="David"/>
          <w:b/>
          <w:bCs/>
          <w:rtl/>
        </w:rPr>
        <w:t xml:space="preserve"> שלמי</w:t>
      </w:r>
      <w:r>
        <w:rPr>
          <w:rFonts w:ascii="David" w:hAnsi="David"/>
          <w:rtl/>
        </w:rPr>
        <w:t>).</w:t>
      </w:r>
    </w:p>
    <w:p w:rsidR="00921214" w:rsidRDefault="00921214" w:rsidP="00BD5614">
      <w:pPr>
        <w:pStyle w:val="ad"/>
        <w:spacing w:after="160" w:line="360" w:lineRule="auto"/>
        <w:jc w:val="both"/>
        <w:rPr>
          <w:rFonts w:ascii="David" w:hAnsi="David"/>
        </w:rPr>
      </w:pPr>
    </w:p>
    <w:p w:rsidR="00BD5614" w:rsidRPr="00921214" w:rsidRDefault="00BD5614" w:rsidP="00BD5614">
      <w:pPr>
        <w:spacing w:line="360" w:lineRule="auto"/>
        <w:jc w:val="both"/>
        <w:rPr>
          <w:rFonts w:ascii="David" w:hAnsi="David"/>
          <w:b/>
          <w:bCs/>
          <w:u w:val="single"/>
          <w:rtl/>
        </w:rPr>
      </w:pPr>
      <w:r w:rsidRPr="00921214">
        <w:rPr>
          <w:rFonts w:ascii="David" w:hAnsi="David"/>
          <w:b/>
          <w:bCs/>
          <w:u w:val="single"/>
          <w:rtl/>
        </w:rPr>
        <w:t>מהכלל אל הפרט</w:t>
      </w:r>
    </w:p>
    <w:p w:rsidR="00921214" w:rsidRDefault="00921214" w:rsidP="00BD5614">
      <w:pPr>
        <w:spacing w:line="360" w:lineRule="auto"/>
        <w:jc w:val="both"/>
        <w:rPr>
          <w:rFonts w:ascii="David" w:hAnsi="David"/>
          <w:u w:val="single"/>
          <w:rtl/>
        </w:rPr>
      </w:pPr>
    </w:p>
    <w:p w:rsidR="00BD5614" w:rsidRDefault="00BD5614" w:rsidP="00BD5614">
      <w:pPr>
        <w:pStyle w:val="ad"/>
        <w:numPr>
          <w:ilvl w:val="0"/>
          <w:numId w:val="1"/>
        </w:numPr>
        <w:spacing w:after="160" w:line="360" w:lineRule="auto"/>
        <w:jc w:val="both"/>
        <w:rPr>
          <w:rFonts w:ascii="David" w:hAnsi="David"/>
        </w:rPr>
      </w:pPr>
      <w:r>
        <w:rPr>
          <w:rFonts w:ascii="David" w:hAnsi="David"/>
          <w:rtl/>
        </w:rPr>
        <w:t>בעניינינו, החריג הרלוונטי הוא חריג ההפרדה הרכושית. משכך על העורר להראות הסכם ממון שאינו פיקטיבי או מלאכותי, שלא נזנח במהלך החיים המשותפים ומתקיים בפועל הלכה למעשה.</w:t>
      </w:r>
    </w:p>
    <w:p w:rsidR="00921214" w:rsidRDefault="00921214" w:rsidP="00921214">
      <w:pPr>
        <w:pStyle w:val="ad"/>
        <w:spacing w:after="160" w:line="360" w:lineRule="auto"/>
        <w:jc w:val="both"/>
        <w:rPr>
          <w:rFonts w:ascii="David" w:hAnsi="David"/>
          <w:rtl/>
        </w:rPr>
      </w:pPr>
    </w:p>
    <w:p w:rsidR="00BD5614" w:rsidRDefault="0053372C" w:rsidP="00BD5614">
      <w:pPr>
        <w:pStyle w:val="ad"/>
        <w:numPr>
          <w:ilvl w:val="0"/>
          <w:numId w:val="1"/>
        </w:numPr>
        <w:spacing w:after="160" w:line="360" w:lineRule="auto"/>
        <w:jc w:val="both"/>
        <w:rPr>
          <w:rFonts w:ascii="David" w:hAnsi="David"/>
        </w:rPr>
      </w:pPr>
      <w:r>
        <w:rPr>
          <w:rFonts w:ascii="David" w:hAnsi="David" w:hint="cs"/>
          <w:rtl/>
        </w:rPr>
        <w:t xml:space="preserve">בענייננו, </w:t>
      </w:r>
      <w:r w:rsidR="00BD5614">
        <w:rPr>
          <w:rFonts w:ascii="David" w:hAnsi="David"/>
          <w:rtl/>
        </w:rPr>
        <w:t xml:space="preserve">נראה כי אין מדובר בהפרדה מלאכותית הנובעת משיקולי מס בלבד, שכן הסכם הממון נחתם ואושר על ידי בית הדין כשנה לפני רכישת הדירה הראשונה. </w:t>
      </w:r>
    </w:p>
    <w:p w:rsidR="00921214" w:rsidRDefault="00921214" w:rsidP="00BD5614">
      <w:pPr>
        <w:pStyle w:val="ad"/>
        <w:spacing w:after="160" w:line="360" w:lineRule="auto"/>
        <w:jc w:val="both"/>
        <w:rPr>
          <w:rFonts w:ascii="David" w:hAnsi="David"/>
        </w:rPr>
      </w:pPr>
    </w:p>
    <w:p w:rsidR="00BD5614" w:rsidRDefault="0053372C" w:rsidP="004F6337">
      <w:pPr>
        <w:pStyle w:val="ad"/>
        <w:numPr>
          <w:ilvl w:val="0"/>
          <w:numId w:val="1"/>
        </w:numPr>
        <w:spacing w:after="160" w:line="360" w:lineRule="auto"/>
        <w:jc w:val="both"/>
        <w:rPr>
          <w:rFonts w:ascii="David" w:hAnsi="David"/>
        </w:rPr>
      </w:pPr>
      <w:r>
        <w:rPr>
          <w:rFonts w:ascii="David" w:hAnsi="David" w:hint="cs"/>
          <w:rtl/>
        </w:rPr>
        <w:t xml:space="preserve">השאלה המרכזית בערר הינה האם ההפרדה בהסכם יחסי הממון יושמה בפועל או שנזנחה למעשה. </w:t>
      </w:r>
      <w:r w:rsidR="00BD5614" w:rsidRPr="0053372C">
        <w:rPr>
          <w:rFonts w:ascii="David" w:hAnsi="David"/>
          <w:rtl/>
        </w:rPr>
        <w:t xml:space="preserve">אין חולק כי הדירה הנוספת </w:t>
      </w:r>
      <w:r>
        <w:rPr>
          <w:rFonts w:ascii="David" w:hAnsi="David" w:hint="cs"/>
          <w:rtl/>
        </w:rPr>
        <w:t xml:space="preserve">ברחוב זילברג נמצאת </w:t>
      </w:r>
      <w:r w:rsidR="00BD5614" w:rsidRPr="0053372C">
        <w:rPr>
          <w:rFonts w:ascii="David" w:hAnsi="David"/>
          <w:rtl/>
        </w:rPr>
        <w:t>בבעלות משותפת</w:t>
      </w:r>
      <w:r>
        <w:rPr>
          <w:rFonts w:ascii="David" w:hAnsi="David" w:hint="cs"/>
          <w:rtl/>
        </w:rPr>
        <w:t xml:space="preserve">, בחלקים שווים, </w:t>
      </w:r>
      <w:r w:rsidR="00BD5614" w:rsidRPr="0053372C">
        <w:rPr>
          <w:rFonts w:ascii="David" w:hAnsi="David"/>
          <w:rtl/>
        </w:rPr>
        <w:t xml:space="preserve"> של שני בני הזוג. זאת</w:t>
      </w:r>
      <w:r>
        <w:rPr>
          <w:rFonts w:ascii="David" w:hAnsi="David" w:hint="cs"/>
          <w:rtl/>
        </w:rPr>
        <w:t>,</w:t>
      </w:r>
      <w:r w:rsidR="00BD5614" w:rsidRPr="0053372C">
        <w:rPr>
          <w:rFonts w:ascii="David" w:hAnsi="David"/>
          <w:rtl/>
        </w:rPr>
        <w:t xml:space="preserve"> בניגוד להסכם הממון הקובע הפרדה ביחס לכל זכות או חובה "מכל מין וסוג שהוא", "בכל זמן ובכל תנאי" וכן קובע כי כל שינוי בהוראות ההסכם "ייעשה אך ורק בכתב ויהיה לו תוקף אך ורק לאחר אישור הערכאה המוסמכת על פי דין". נראה </w:t>
      </w:r>
      <w:r w:rsidR="00211490">
        <w:rPr>
          <w:rFonts w:ascii="David" w:hAnsi="David" w:hint="cs"/>
          <w:rtl/>
        </w:rPr>
        <w:t xml:space="preserve">לכאורה, </w:t>
      </w:r>
      <w:r w:rsidR="00BD5614" w:rsidRPr="0053372C">
        <w:rPr>
          <w:rFonts w:ascii="David" w:hAnsi="David"/>
          <w:rtl/>
        </w:rPr>
        <w:t xml:space="preserve">כי הסכם הממון נזנח ואינו מתקיים הלכה למעשה, </w:t>
      </w:r>
      <w:r w:rsidR="004F6337">
        <w:rPr>
          <w:rFonts w:ascii="David" w:hAnsi="David" w:hint="cs"/>
          <w:rtl/>
        </w:rPr>
        <w:t>בין היתר, מפני</w:t>
      </w:r>
      <w:r w:rsidR="00BD5614" w:rsidRPr="0053372C">
        <w:rPr>
          <w:rFonts w:ascii="David" w:hAnsi="David"/>
          <w:rtl/>
        </w:rPr>
        <w:t xml:space="preserve"> </w:t>
      </w:r>
      <w:r w:rsidR="004F6337">
        <w:rPr>
          <w:rFonts w:ascii="David" w:hAnsi="David" w:hint="cs"/>
          <w:rtl/>
        </w:rPr>
        <w:t>ש</w:t>
      </w:r>
      <w:r w:rsidR="00BD5614" w:rsidRPr="0053372C">
        <w:rPr>
          <w:rFonts w:ascii="David" w:hAnsi="David"/>
          <w:rtl/>
        </w:rPr>
        <w:t xml:space="preserve">הבעלות </w:t>
      </w:r>
      <w:r w:rsidR="003D1D52">
        <w:rPr>
          <w:rFonts w:ascii="David" w:hAnsi="David" w:hint="cs"/>
          <w:rtl/>
        </w:rPr>
        <w:t xml:space="preserve">המשותפת </w:t>
      </w:r>
      <w:r w:rsidR="00BD5614" w:rsidRPr="0053372C">
        <w:rPr>
          <w:rFonts w:ascii="David" w:hAnsi="David"/>
          <w:rtl/>
        </w:rPr>
        <w:t>בדירה סותרת את ההסכם. הש</w:t>
      </w:r>
      <w:r w:rsidR="00211490">
        <w:rPr>
          <w:rFonts w:ascii="David" w:hAnsi="David"/>
          <w:rtl/>
        </w:rPr>
        <w:t>אלה העולה היא, מתי ההסכם נזנח</w:t>
      </w:r>
      <w:r w:rsidR="00211490">
        <w:rPr>
          <w:rFonts w:ascii="David" w:hAnsi="David" w:hint="cs"/>
          <w:rtl/>
        </w:rPr>
        <w:t xml:space="preserve"> והאם ההפרדה הרכושית נשמרה הלכה למעשה במ</w:t>
      </w:r>
      <w:r w:rsidR="004F6337">
        <w:rPr>
          <w:rFonts w:ascii="David" w:hAnsi="David" w:hint="cs"/>
          <w:rtl/>
        </w:rPr>
        <w:t>הלך החיים המשותפים של בני הזוג וביחס לדירה שנרכשה ברחוב זילברג.</w:t>
      </w:r>
    </w:p>
    <w:p w:rsidR="00211490" w:rsidRPr="00211490" w:rsidRDefault="00211490" w:rsidP="00211490">
      <w:pPr>
        <w:pStyle w:val="ad"/>
        <w:rPr>
          <w:rFonts w:ascii="David" w:hAnsi="David"/>
          <w:rtl/>
        </w:rPr>
      </w:pPr>
    </w:p>
    <w:p w:rsidR="00211490" w:rsidRDefault="00211490" w:rsidP="004F6337">
      <w:pPr>
        <w:pStyle w:val="ad"/>
        <w:numPr>
          <w:ilvl w:val="0"/>
          <w:numId w:val="1"/>
        </w:numPr>
        <w:spacing w:after="160" w:line="360" w:lineRule="auto"/>
        <w:jc w:val="both"/>
        <w:rPr>
          <w:rFonts w:ascii="David" w:hAnsi="David"/>
        </w:rPr>
      </w:pPr>
      <w:r>
        <w:rPr>
          <w:rFonts w:ascii="David" w:hAnsi="David" w:hint="cs"/>
          <w:rtl/>
        </w:rPr>
        <w:t>כדי להשיב על השאלה הנ"ל יש לפתוח בבחינת נסיבות רכישת הדירה ברחוב קורדובירו בשנת 2006, ול</w:t>
      </w:r>
      <w:r w:rsidR="004F6337">
        <w:rPr>
          <w:rFonts w:ascii="David" w:hAnsi="David" w:hint="cs"/>
          <w:rtl/>
        </w:rPr>
        <w:t>א</w:t>
      </w:r>
      <w:r>
        <w:rPr>
          <w:rFonts w:ascii="David" w:hAnsi="David" w:hint="cs"/>
          <w:rtl/>
        </w:rPr>
        <w:t>ח</w:t>
      </w:r>
      <w:r w:rsidR="004F6337">
        <w:rPr>
          <w:rFonts w:ascii="David" w:hAnsi="David" w:hint="cs"/>
          <w:rtl/>
        </w:rPr>
        <w:t>ר</w:t>
      </w:r>
      <w:r>
        <w:rPr>
          <w:rFonts w:ascii="David" w:hAnsi="David" w:hint="cs"/>
          <w:rtl/>
        </w:rPr>
        <w:t xml:space="preserve"> מכן לבחון את רכישת הדירה ברחוב מוצפי בשנת 2013. לבסוף,</w:t>
      </w:r>
      <w:r w:rsidR="004F6337">
        <w:rPr>
          <w:rFonts w:ascii="David" w:hAnsi="David" w:hint="cs"/>
          <w:rtl/>
        </w:rPr>
        <w:t xml:space="preserve"> יהיה עלינו</w:t>
      </w:r>
      <w:r>
        <w:rPr>
          <w:rFonts w:ascii="David" w:hAnsi="David" w:hint="cs"/>
          <w:rtl/>
        </w:rPr>
        <w:t xml:space="preserve"> לבחון את רכישת הדירה ברחוב זילברג. </w:t>
      </w:r>
    </w:p>
    <w:p w:rsidR="00211490" w:rsidRPr="00211490" w:rsidRDefault="00211490" w:rsidP="00211490">
      <w:pPr>
        <w:pStyle w:val="ad"/>
        <w:rPr>
          <w:rFonts w:ascii="David" w:hAnsi="David"/>
          <w:rtl/>
        </w:rPr>
      </w:pPr>
    </w:p>
    <w:p w:rsidR="00211490" w:rsidRDefault="00211490" w:rsidP="004F6337">
      <w:pPr>
        <w:pStyle w:val="ad"/>
        <w:numPr>
          <w:ilvl w:val="0"/>
          <w:numId w:val="1"/>
        </w:numPr>
        <w:spacing w:after="160" w:line="360" w:lineRule="auto"/>
        <w:jc w:val="both"/>
        <w:rPr>
          <w:rFonts w:ascii="David" w:hAnsi="David"/>
        </w:rPr>
      </w:pPr>
      <w:r>
        <w:rPr>
          <w:rFonts w:ascii="David" w:hAnsi="David" w:hint="cs"/>
          <w:rtl/>
        </w:rPr>
        <w:lastRenderedPageBreak/>
        <w:t>נפתח ברכישת הדירה ברחוב קורדובירו. העורר טען כי בשל ההפרדה הרכושית שנקבעה עוד בטרם הנישואין, נרשמה מחצית הדירה על שם בת הזוג והמחצית השניה ע</w:t>
      </w:r>
      <w:r w:rsidR="004F6337">
        <w:rPr>
          <w:rFonts w:ascii="David" w:hAnsi="David" w:hint="cs"/>
          <w:rtl/>
        </w:rPr>
        <w:t>ל</w:t>
      </w:r>
      <w:r>
        <w:rPr>
          <w:rFonts w:ascii="David" w:hAnsi="David" w:hint="cs"/>
          <w:rtl/>
        </w:rPr>
        <w:t xml:space="preserve"> שם </w:t>
      </w:r>
      <w:r w:rsidR="004F6337">
        <w:rPr>
          <w:rFonts w:ascii="David" w:hAnsi="David" w:hint="cs"/>
          <w:rtl/>
        </w:rPr>
        <w:t>אמו</w:t>
      </w:r>
      <w:r>
        <w:rPr>
          <w:rFonts w:ascii="David" w:hAnsi="David" w:hint="cs"/>
          <w:rtl/>
        </w:rPr>
        <w:t xml:space="preserve"> של העורר. הטענה בדבר הפרדה רכושית ביחס לדירה זו אינה עולה </w:t>
      </w:r>
      <w:r w:rsidR="004F6337">
        <w:rPr>
          <w:rFonts w:ascii="David" w:hAnsi="David" w:hint="cs"/>
          <w:rtl/>
        </w:rPr>
        <w:t xml:space="preserve">לכאורה </w:t>
      </w:r>
      <w:r>
        <w:rPr>
          <w:rFonts w:ascii="David" w:hAnsi="David" w:hint="cs"/>
          <w:rtl/>
        </w:rPr>
        <w:t>בקנה אחד עם המכתב שנשלח מאת קבוצת קורדובירו גבעת שאול (מוצג מש/1) הממוען אל העורר ואל אמו, שהרי</w:t>
      </w:r>
      <w:r w:rsidR="0093383D">
        <w:rPr>
          <w:rFonts w:ascii="David" w:hAnsi="David" w:hint="cs"/>
          <w:rtl/>
        </w:rPr>
        <w:t xml:space="preserve"> לטענת העורר הדירה אינה בבעלותו.</w:t>
      </w:r>
    </w:p>
    <w:p w:rsidR="0093383D" w:rsidRPr="0093383D" w:rsidRDefault="0093383D" w:rsidP="0093383D">
      <w:pPr>
        <w:pStyle w:val="ad"/>
        <w:rPr>
          <w:rFonts w:ascii="David" w:hAnsi="David"/>
          <w:rtl/>
        </w:rPr>
      </w:pPr>
    </w:p>
    <w:p w:rsidR="0093383D" w:rsidRDefault="0093383D" w:rsidP="005E6591">
      <w:pPr>
        <w:pStyle w:val="ad"/>
        <w:numPr>
          <w:ilvl w:val="0"/>
          <w:numId w:val="1"/>
        </w:numPr>
        <w:spacing w:after="160" w:line="360" w:lineRule="auto"/>
        <w:jc w:val="both"/>
        <w:rPr>
          <w:rFonts w:ascii="David" w:hAnsi="David"/>
        </w:rPr>
      </w:pPr>
      <w:r>
        <w:rPr>
          <w:rFonts w:ascii="David" w:hAnsi="David" w:hint="cs"/>
          <w:rtl/>
        </w:rPr>
        <w:t>מכאן נמשיך ונבחן את רכישת הדירה ברחוב מוצפי. לטענת העורר, ביום 22.8.13 רכשה רעייתו את הדירה ברחוב סלמן מוצפי על שמה בלבד תמורת כ-3.2 מיליון ₪ וכי לצורך מימון ההון העצמי לרכישת דירה זו נמכרה הדירה ברחוב קורדובירו (שנרכשה בקבוצת רכישה) והיתרה מומנה במשכנת</w:t>
      </w:r>
      <w:r w:rsidR="005E6591">
        <w:rPr>
          <w:rFonts w:ascii="David" w:hAnsi="David" w:hint="cs"/>
          <w:rtl/>
        </w:rPr>
        <w:t>ה</w:t>
      </w:r>
      <w:r>
        <w:rPr>
          <w:rFonts w:ascii="David" w:hAnsi="David" w:hint="cs"/>
          <w:rtl/>
        </w:rPr>
        <w:t xml:space="preserve"> (סעיף 15 לתצהיר העורר). הצהרה זו אינה עולה בקנה אחד עם ההסכם למכירת הדירה ברח' </w:t>
      </w:r>
      <w:r w:rsidR="004F6337">
        <w:rPr>
          <w:rFonts w:ascii="David" w:hAnsi="David" w:hint="cs"/>
          <w:rtl/>
        </w:rPr>
        <w:t>קו</w:t>
      </w:r>
      <w:r>
        <w:rPr>
          <w:rFonts w:ascii="David" w:hAnsi="David" w:hint="cs"/>
          <w:rtl/>
        </w:rPr>
        <w:t>רדובירו מיום 11.1.15 (מ</w:t>
      </w:r>
      <w:r w:rsidR="004F6337">
        <w:rPr>
          <w:rFonts w:ascii="David" w:hAnsi="David" w:hint="cs"/>
          <w:rtl/>
        </w:rPr>
        <w:t>ש</w:t>
      </w:r>
      <w:r>
        <w:rPr>
          <w:rFonts w:ascii="David" w:hAnsi="David" w:hint="cs"/>
          <w:rtl/>
        </w:rPr>
        <w:t>/2</w:t>
      </w:r>
      <w:r w:rsidR="007B7FE8">
        <w:rPr>
          <w:rFonts w:ascii="David" w:hAnsi="David" w:hint="cs"/>
          <w:rtl/>
        </w:rPr>
        <w:t>), אש</w:t>
      </w:r>
      <w:r w:rsidR="004F6337">
        <w:rPr>
          <w:rFonts w:ascii="David" w:hAnsi="David" w:hint="cs"/>
          <w:rtl/>
        </w:rPr>
        <w:t>ר</w:t>
      </w:r>
      <w:r w:rsidR="007B7FE8">
        <w:rPr>
          <w:rFonts w:ascii="David" w:hAnsi="David" w:hint="cs"/>
          <w:rtl/>
        </w:rPr>
        <w:t xml:space="preserve"> נחתם כשנה וארבע חודשים לאחר </w:t>
      </w:r>
      <w:r w:rsidR="004F6337">
        <w:rPr>
          <w:rFonts w:ascii="David" w:hAnsi="David" w:hint="cs"/>
          <w:rtl/>
        </w:rPr>
        <w:t>ר</w:t>
      </w:r>
      <w:r w:rsidR="007B7FE8">
        <w:rPr>
          <w:rFonts w:ascii="David" w:hAnsi="David" w:hint="cs"/>
          <w:rtl/>
        </w:rPr>
        <w:t>כישת הדירה ברחוב מוצפי.</w:t>
      </w:r>
    </w:p>
    <w:p w:rsidR="007B7FE8" w:rsidRPr="007B7FE8" w:rsidRDefault="007B7FE8" w:rsidP="007B7FE8">
      <w:pPr>
        <w:pStyle w:val="ad"/>
        <w:rPr>
          <w:rFonts w:ascii="David" w:hAnsi="David"/>
          <w:rtl/>
        </w:rPr>
      </w:pPr>
    </w:p>
    <w:p w:rsidR="007B7FE8" w:rsidRDefault="007B7FE8" w:rsidP="004F6337">
      <w:pPr>
        <w:pStyle w:val="ad"/>
        <w:numPr>
          <w:ilvl w:val="0"/>
          <w:numId w:val="1"/>
        </w:numPr>
        <w:spacing w:after="160" w:line="360" w:lineRule="auto"/>
        <w:jc w:val="both"/>
        <w:rPr>
          <w:rFonts w:ascii="David" w:hAnsi="David"/>
        </w:rPr>
      </w:pPr>
      <w:r>
        <w:rPr>
          <w:rFonts w:ascii="David" w:hAnsi="David" w:hint="cs"/>
          <w:rtl/>
        </w:rPr>
        <w:t>בדיוני השומה העלה ב"כ העורר מספר אפשרויות ביחס למימון התשלום הראשון עבור הדירה (נספח 3 לכתב התשובה, בעמ' 5) אולם בתצהיר העורר, אפשרויות אלה לא פורטו. בחקירתו הנגדית טען העורר טענה חדשה, לפיה המימון מקורו במש</w:t>
      </w:r>
      <w:r w:rsidR="004F6337">
        <w:rPr>
          <w:rFonts w:ascii="David" w:hAnsi="David" w:hint="cs"/>
          <w:rtl/>
        </w:rPr>
        <w:t>כורתה</w:t>
      </w:r>
      <w:r>
        <w:rPr>
          <w:rFonts w:ascii="David" w:hAnsi="David" w:hint="cs"/>
          <w:rtl/>
        </w:rPr>
        <w:t xml:space="preserve"> הגבוהה של בת הזוג בשנת 2013 ( 450-500 אלף ₪ בשנה): עמ' 9 לפרוטוקול, שורות 10-14. לא הוגשו ראיות בדבר השתכרות בת הזוג, כמו תלושי שכר, טופס 106 או דפי בנק ועל כן יש מקום להתייחס בספקנות לגרסה זו, במיוחד לאור אי הבאת בת הזו</w:t>
      </w:r>
      <w:r w:rsidR="004F6337">
        <w:rPr>
          <w:rFonts w:ascii="David" w:hAnsi="David" w:hint="cs"/>
          <w:rtl/>
        </w:rPr>
        <w:t>ג</w:t>
      </w:r>
      <w:r>
        <w:rPr>
          <w:rFonts w:ascii="David" w:hAnsi="David" w:hint="cs"/>
          <w:rtl/>
        </w:rPr>
        <w:t xml:space="preserve"> לעדות (לאחר שהוגש תצהיר עדות ראשית מטעמה). על פי הפ</w:t>
      </w:r>
      <w:r w:rsidR="004F6337">
        <w:rPr>
          <w:rFonts w:ascii="David" w:hAnsi="David" w:hint="cs"/>
          <w:rtl/>
        </w:rPr>
        <w:t>ס</w:t>
      </w:r>
      <w:r>
        <w:rPr>
          <w:rFonts w:ascii="David" w:hAnsi="David" w:hint="cs"/>
          <w:rtl/>
        </w:rPr>
        <w:t xml:space="preserve">יקה, אי הבאת עד רלוונטי, בהעדר הסבר אמין וסביר לכך פועלת לחובתו של בעל הדין שממנע מלהשמיעו, ומקימה חזקה עובדתית לחובתו, לפיה דין ההימנעות כדין הודאה בדבר, שאילו הובאה אותה ראיה, הייתה פועלת לחובתו (ע"א 8382/06 </w:t>
      </w:r>
      <w:r>
        <w:rPr>
          <w:rFonts w:ascii="David" w:hAnsi="David" w:hint="cs"/>
          <w:b/>
          <w:bCs/>
          <w:rtl/>
        </w:rPr>
        <w:t>כורש בוטח נ' דוד כהן</w:t>
      </w:r>
      <w:r>
        <w:rPr>
          <w:rFonts w:ascii="David" w:hAnsi="David" w:hint="cs"/>
          <w:rtl/>
        </w:rPr>
        <w:t xml:space="preserve"> (26.8.12); ע"א 7183/09 </w:t>
      </w:r>
      <w:r>
        <w:rPr>
          <w:rFonts w:ascii="David" w:hAnsi="David" w:hint="cs"/>
          <w:b/>
          <w:bCs/>
          <w:rtl/>
        </w:rPr>
        <w:t>עזבון המנוח בולוס חורי נק' מנהל מקרקעי ישראל</w:t>
      </w:r>
      <w:r>
        <w:rPr>
          <w:rFonts w:ascii="David" w:hAnsi="David" w:hint="cs"/>
          <w:rtl/>
        </w:rPr>
        <w:t xml:space="preserve"> (4.4.12); ע"א 2275/90 </w:t>
      </w:r>
      <w:r>
        <w:rPr>
          <w:rFonts w:ascii="David" w:hAnsi="David" w:hint="cs"/>
          <w:b/>
          <w:bCs/>
          <w:rtl/>
        </w:rPr>
        <w:t xml:space="preserve">לימה חברה ישראלית לתעשיות כימיות בע"מ באמצעות בנין דוד בע"מ נ' פרץ רוזנברג ואח' </w:t>
      </w:r>
      <w:r>
        <w:rPr>
          <w:rFonts w:ascii="David" w:hAnsi="David" w:hint="cs"/>
          <w:rtl/>
        </w:rPr>
        <w:t xml:space="preserve">פד"י מ"ז(2) 605, 614; ע"א 55/89 </w:t>
      </w:r>
      <w:r>
        <w:rPr>
          <w:rFonts w:ascii="David" w:hAnsi="David" w:hint="cs"/>
          <w:b/>
          <w:bCs/>
          <w:rtl/>
        </w:rPr>
        <w:t xml:space="preserve">קופל בע"מ נ' טלקאר בע"מ </w:t>
      </w:r>
      <w:r>
        <w:rPr>
          <w:rFonts w:ascii="David" w:hAnsi="David" w:hint="cs"/>
          <w:rtl/>
        </w:rPr>
        <w:t xml:space="preserve">פד"י מ"ד(4) 595, 602; ע"א 465/88 </w:t>
      </w:r>
      <w:r>
        <w:rPr>
          <w:rFonts w:ascii="David" w:hAnsi="David" w:hint="cs"/>
          <w:b/>
          <w:bCs/>
          <w:rtl/>
        </w:rPr>
        <w:t>הבנק למימון ולסחר בע"מ נ' מתתיהו</w:t>
      </w:r>
      <w:r>
        <w:rPr>
          <w:rFonts w:ascii="David" w:hAnsi="David" w:hint="cs"/>
          <w:rtl/>
        </w:rPr>
        <w:t>, פ"ד מה(4) 651, 658). במקרה זה, הימנעות מהעדת רעייתו של העורר בולטת במיוחד שכן לעדותה חש</w:t>
      </w:r>
      <w:r w:rsidR="008E6D86">
        <w:rPr>
          <w:rFonts w:ascii="David" w:hAnsi="David" w:hint="cs"/>
          <w:rtl/>
        </w:rPr>
        <w:t>יבות מיוחדת, בהיותה מעורבת בליבת המחלוקת בין הצדדים. להימנעות ממתן העדות לא ניתן הסבר אמין וסביר ואי הבאתה לעדות מעוררת את החשד כי העורר חשש מעדותה ומחשיפתה לחקירה נגדית.</w:t>
      </w:r>
      <w:r w:rsidR="00D5623A">
        <w:rPr>
          <w:rFonts w:ascii="David" w:hAnsi="David" w:hint="cs"/>
          <w:rtl/>
        </w:rPr>
        <w:t xml:space="preserve"> הואיל ונטל סתירת החזקה מוטל על העורר, יש להימנעות בת הזוג ממתן עדות משקל משמעותי לעניין סוגיית עמידת העורר בנטל המוטל עליו.</w:t>
      </w:r>
    </w:p>
    <w:p w:rsidR="008E6D86" w:rsidRDefault="008E6D86" w:rsidP="008E6D86">
      <w:pPr>
        <w:pStyle w:val="ad"/>
        <w:spacing w:after="160" w:line="360" w:lineRule="auto"/>
        <w:jc w:val="both"/>
        <w:rPr>
          <w:rFonts w:ascii="David" w:hAnsi="David"/>
          <w:rtl/>
        </w:rPr>
      </w:pPr>
    </w:p>
    <w:p w:rsidR="008E6D86" w:rsidRDefault="008E6D86" w:rsidP="005E6591">
      <w:pPr>
        <w:pStyle w:val="ad"/>
        <w:numPr>
          <w:ilvl w:val="0"/>
          <w:numId w:val="1"/>
        </w:numPr>
        <w:spacing w:after="160" w:line="360" w:lineRule="auto"/>
        <w:jc w:val="both"/>
        <w:rPr>
          <w:rFonts w:ascii="David" w:hAnsi="David"/>
        </w:rPr>
      </w:pPr>
      <w:r>
        <w:rPr>
          <w:rFonts w:ascii="David" w:hAnsi="David" w:hint="cs"/>
          <w:rtl/>
        </w:rPr>
        <w:t>זאת ועוד. הסכם המשכנת</w:t>
      </w:r>
      <w:r w:rsidR="005E6591">
        <w:rPr>
          <w:rFonts w:ascii="David" w:hAnsi="David" w:hint="cs"/>
          <w:rtl/>
        </w:rPr>
        <w:t>ה</w:t>
      </w:r>
      <w:r>
        <w:rPr>
          <w:rFonts w:ascii="David" w:hAnsi="David" w:hint="cs"/>
          <w:rtl/>
        </w:rPr>
        <w:t xml:space="preserve"> נערך בין הבנק המממן (בנק לאומי) לבין העורר ורעייתו (נספח 12 לתצהיר המשיב) וזאת בניגוד לטענת העורר בתצהירו כי המשכנת</w:t>
      </w:r>
      <w:r w:rsidR="005E6591">
        <w:rPr>
          <w:rFonts w:ascii="David" w:hAnsi="David" w:hint="cs"/>
          <w:rtl/>
        </w:rPr>
        <w:t>ה</w:t>
      </w:r>
      <w:r>
        <w:rPr>
          <w:rFonts w:ascii="David" w:hAnsi="David" w:hint="cs"/>
          <w:rtl/>
        </w:rPr>
        <w:t xml:space="preserve"> נלקחה על שם רעייתו בלבד (סעיף 15 לתצהיר העורר). בחקירתו הנגדית השיב העורר על כך כי הוא טיפל בטפסים </w:t>
      </w:r>
      <w:r>
        <w:rPr>
          <w:rFonts w:ascii="David" w:hAnsi="David" w:hint="cs"/>
          <w:rtl/>
        </w:rPr>
        <w:lastRenderedPageBreak/>
        <w:t xml:space="preserve">מול הבנק וכי אישור הבנק ניתן על </w:t>
      </w:r>
      <w:r w:rsidR="00A37C92" w:rsidRPr="00A37C92">
        <w:rPr>
          <w:rFonts w:ascii="David" w:hAnsi="David" w:hint="cs"/>
          <w:rtl/>
        </w:rPr>
        <w:t>סמך ההיכרות שלו עם הבנק (עמ'</w:t>
      </w:r>
      <w:r w:rsidR="00A37C92">
        <w:rPr>
          <w:rFonts w:ascii="David" w:hAnsi="David" w:hint="cs"/>
          <w:b/>
          <w:bCs/>
          <w:sz w:val="30"/>
          <w:szCs w:val="30"/>
          <w:rtl/>
        </w:rPr>
        <w:t xml:space="preserve"> </w:t>
      </w:r>
      <w:r w:rsidR="00A37C92">
        <w:rPr>
          <w:rFonts w:ascii="David" w:hAnsi="David" w:hint="cs"/>
          <w:rtl/>
        </w:rPr>
        <w:t xml:space="preserve">10 לפרוטוקול). קשה לקבל את טענת העורר בעניין זה, כיצד מעורבתו בהגשת הטפסים הובילה לחתימתו כלווה ובכל מקרה, נסתרה טענתו כי המשכנתה נלקחה על ידי בת זוגו בלבד. הואיל ומדובר בהסכם מול הבנק מיום 9.10.13, </w:t>
      </w:r>
      <w:r w:rsidR="00D5623A">
        <w:rPr>
          <w:rFonts w:ascii="David" w:hAnsi="David" w:hint="cs"/>
          <w:rtl/>
        </w:rPr>
        <w:t xml:space="preserve">נראה כי המימון על פיו לא סייע למימון התשלום הראשון עבור רכישת הדירהברחוב מוצפי, אשר אמור היה </w:t>
      </w:r>
      <w:r w:rsidR="00091573">
        <w:rPr>
          <w:rFonts w:ascii="David" w:hAnsi="David" w:hint="cs"/>
          <w:rtl/>
        </w:rPr>
        <w:t xml:space="preserve">להתבצע ביום 22.8.13, </w:t>
      </w:r>
      <w:r w:rsidR="00A37C92">
        <w:rPr>
          <w:rFonts w:ascii="David" w:hAnsi="David" w:hint="cs"/>
          <w:rtl/>
        </w:rPr>
        <w:t xml:space="preserve">כחודש וחצי לפני חתימת ההסכם מול הבנק. </w:t>
      </w:r>
    </w:p>
    <w:p w:rsidR="004A5244" w:rsidRDefault="004A5244" w:rsidP="004A5244">
      <w:pPr>
        <w:pStyle w:val="ad"/>
        <w:spacing w:after="160" w:line="360" w:lineRule="auto"/>
        <w:jc w:val="both"/>
        <w:rPr>
          <w:rFonts w:ascii="David" w:hAnsi="David"/>
        </w:rPr>
      </w:pPr>
    </w:p>
    <w:p w:rsidR="00A37C92" w:rsidRDefault="00A37C92" w:rsidP="00091573">
      <w:pPr>
        <w:pStyle w:val="ad"/>
        <w:numPr>
          <w:ilvl w:val="0"/>
          <w:numId w:val="1"/>
        </w:numPr>
        <w:spacing w:after="160" w:line="360" w:lineRule="auto"/>
        <w:jc w:val="both"/>
        <w:rPr>
          <w:rFonts w:ascii="David" w:hAnsi="David"/>
        </w:rPr>
      </w:pPr>
      <w:r>
        <w:rPr>
          <w:rFonts w:ascii="David" w:hAnsi="David" w:hint="cs"/>
          <w:rtl/>
        </w:rPr>
        <w:t xml:space="preserve">זאת ועוד, בכל הנוגע לרכישת </w:t>
      </w:r>
      <w:r w:rsidR="00091573">
        <w:rPr>
          <w:rFonts w:ascii="David" w:hAnsi="David" w:hint="cs"/>
          <w:rtl/>
        </w:rPr>
        <w:t>ה</w:t>
      </w:r>
      <w:r>
        <w:rPr>
          <w:rFonts w:ascii="David" w:hAnsi="David" w:hint="cs"/>
          <w:rtl/>
        </w:rPr>
        <w:t>מחסן כתוספת לדירה ב</w:t>
      </w:r>
      <w:r w:rsidR="00091573">
        <w:rPr>
          <w:rFonts w:ascii="David" w:hAnsi="David" w:hint="cs"/>
          <w:rtl/>
        </w:rPr>
        <w:t>ר</w:t>
      </w:r>
      <w:r>
        <w:rPr>
          <w:rFonts w:ascii="David" w:hAnsi="David" w:hint="cs"/>
          <w:rtl/>
        </w:rPr>
        <w:t>חו</w:t>
      </w:r>
      <w:r w:rsidR="00091573">
        <w:rPr>
          <w:rFonts w:ascii="David" w:hAnsi="David" w:hint="cs"/>
          <w:rtl/>
        </w:rPr>
        <w:t>ב</w:t>
      </w:r>
      <w:r>
        <w:rPr>
          <w:rFonts w:ascii="David" w:hAnsi="David" w:hint="cs"/>
          <w:rtl/>
        </w:rPr>
        <w:t xml:space="preserve"> מוצפי, טען העורר כי הוא נשא בתשלום עבור המחסן (93,0</w:t>
      </w:r>
      <w:r w:rsidR="00091573">
        <w:rPr>
          <w:rFonts w:ascii="David" w:hAnsi="David" w:hint="cs"/>
          <w:rtl/>
        </w:rPr>
        <w:t>0</w:t>
      </w:r>
      <w:r>
        <w:rPr>
          <w:rFonts w:ascii="David" w:hAnsi="David" w:hint="cs"/>
          <w:rtl/>
        </w:rPr>
        <w:t xml:space="preserve">0 ₪) בדרך של קיזוז הסכום הנ"ל מתוך הסכום של 130,000 ₪ אותו העביר </w:t>
      </w:r>
      <w:r w:rsidR="00942802">
        <w:rPr>
          <w:rFonts w:ascii="David" w:hAnsi="David" w:hint="cs"/>
          <w:rtl/>
        </w:rPr>
        <w:t>לבת זוגו כל שנה בגין דמי שכירות והשתתפות בהוצאות עבור חמשת ילדי בני הזוג, ולכן הועבר</w:t>
      </w:r>
      <w:r w:rsidR="00091573">
        <w:rPr>
          <w:rFonts w:ascii="David" w:hAnsi="David" w:hint="cs"/>
          <w:rtl/>
        </w:rPr>
        <w:t>ו</w:t>
      </w:r>
      <w:r w:rsidR="00942802">
        <w:rPr>
          <w:rFonts w:ascii="David" w:hAnsi="David" w:hint="cs"/>
          <w:rtl/>
        </w:rPr>
        <w:t xml:space="preserve"> בשנת 2017 רק 70,000 ₪ כתוצאה מן הקיזוז. קיים קושי לקבל גרסה זו, לאור העברת סכום של 70,000 ₪ שהוא כפול מהתוצאה של קיזוז 93,000 ₪ מסכום בגובה 130,000 ₪. </w:t>
      </w:r>
    </w:p>
    <w:p w:rsidR="004A5244" w:rsidRDefault="004A5244" w:rsidP="004A5244">
      <w:pPr>
        <w:pStyle w:val="ad"/>
        <w:spacing w:after="160" w:line="360" w:lineRule="auto"/>
        <w:jc w:val="both"/>
        <w:rPr>
          <w:rFonts w:ascii="David" w:hAnsi="David"/>
        </w:rPr>
      </w:pPr>
    </w:p>
    <w:p w:rsidR="00942802" w:rsidRDefault="00942802" w:rsidP="00A37C92">
      <w:pPr>
        <w:pStyle w:val="ad"/>
        <w:numPr>
          <w:ilvl w:val="0"/>
          <w:numId w:val="1"/>
        </w:numPr>
        <w:spacing w:after="160" w:line="360" w:lineRule="auto"/>
        <w:jc w:val="both"/>
        <w:rPr>
          <w:rFonts w:ascii="David" w:hAnsi="David"/>
        </w:rPr>
      </w:pPr>
      <w:r>
        <w:rPr>
          <w:rFonts w:ascii="David" w:hAnsi="David" w:hint="cs"/>
          <w:rtl/>
        </w:rPr>
        <w:t xml:space="preserve">מנסיבות העניין עולה, אפוא, כי יש קושי רב בקבלת גרסתו של העורר, לפיה הדירה ברח' מוצפי, נרכשה במימון בלעדי של בת הזוג ונראה כי העורר השתתף במימון הדירה והמחסן, אף שהזכויות בדירה נרשמו רק על שם רעייתו. </w:t>
      </w:r>
    </w:p>
    <w:p w:rsidR="004A5244" w:rsidRDefault="004A5244" w:rsidP="004A5244">
      <w:pPr>
        <w:pStyle w:val="ad"/>
        <w:spacing w:after="160" w:line="360" w:lineRule="auto"/>
        <w:jc w:val="both"/>
        <w:rPr>
          <w:rFonts w:ascii="David" w:hAnsi="David"/>
        </w:rPr>
      </w:pPr>
    </w:p>
    <w:p w:rsidR="00942802" w:rsidRDefault="00942802" w:rsidP="00D66743">
      <w:pPr>
        <w:pStyle w:val="ad"/>
        <w:numPr>
          <w:ilvl w:val="0"/>
          <w:numId w:val="1"/>
        </w:numPr>
        <w:spacing w:after="160" w:line="360" w:lineRule="auto"/>
        <w:jc w:val="both"/>
        <w:rPr>
          <w:rFonts w:ascii="David" w:hAnsi="David"/>
        </w:rPr>
      </w:pPr>
      <w:r>
        <w:rPr>
          <w:rFonts w:ascii="David" w:hAnsi="David" w:hint="cs"/>
          <w:rtl/>
        </w:rPr>
        <w:t>מכאן נעבור לבחינת רכישת הדירה ברח' זילברג בשנת 2018. לטענת העורר, ביום 12.3.18 נרכשה הדירה בחלקים שווים על ידו ועל ידי רעייתו, תמור</w:t>
      </w:r>
      <w:r w:rsidR="00D66743">
        <w:rPr>
          <w:rFonts w:ascii="David" w:hAnsi="David" w:hint="cs"/>
          <w:rtl/>
        </w:rPr>
        <w:t>ת</w:t>
      </w:r>
      <w:r>
        <w:rPr>
          <w:rFonts w:ascii="David" w:hAnsi="David" w:hint="cs"/>
          <w:rtl/>
        </w:rPr>
        <w:t xml:space="preserve"> כ-5.8 מיליון שקלים. נטען כי דמי השכירות ששולמו עבור הדירה ברח' מוצפי כיסו את תשלומי ה</w:t>
      </w:r>
      <w:r w:rsidR="00D66743">
        <w:rPr>
          <w:rFonts w:ascii="David" w:hAnsi="David" w:hint="cs"/>
          <w:rtl/>
        </w:rPr>
        <w:t>מ</w:t>
      </w:r>
      <w:r>
        <w:rPr>
          <w:rFonts w:ascii="David" w:hAnsi="David" w:hint="cs"/>
          <w:rtl/>
        </w:rPr>
        <w:t xml:space="preserve">שכנתה על הדירה ברח' זילברג. </w:t>
      </w:r>
      <w:r w:rsidR="00D66743">
        <w:rPr>
          <w:rFonts w:ascii="David" w:hAnsi="David" w:hint="cs"/>
          <w:rtl/>
        </w:rPr>
        <w:t>לסוגיה זו נתייחס בהמשך.</w:t>
      </w:r>
    </w:p>
    <w:p w:rsidR="004A5244" w:rsidRDefault="004A5244" w:rsidP="004A5244">
      <w:pPr>
        <w:pStyle w:val="ad"/>
        <w:spacing w:after="160" w:line="360" w:lineRule="auto"/>
        <w:jc w:val="both"/>
        <w:rPr>
          <w:rFonts w:ascii="David" w:hAnsi="David"/>
        </w:rPr>
      </w:pPr>
    </w:p>
    <w:p w:rsidR="001C4BEB" w:rsidRDefault="00942802" w:rsidP="00F06137">
      <w:pPr>
        <w:pStyle w:val="ad"/>
        <w:numPr>
          <w:ilvl w:val="0"/>
          <w:numId w:val="1"/>
        </w:numPr>
        <w:spacing w:after="160" w:line="360" w:lineRule="auto"/>
        <w:jc w:val="both"/>
        <w:rPr>
          <w:rFonts w:ascii="David" w:hAnsi="David"/>
        </w:rPr>
      </w:pPr>
      <w:r>
        <w:rPr>
          <w:rFonts w:ascii="David" w:hAnsi="David" w:hint="cs"/>
          <w:rtl/>
        </w:rPr>
        <w:t xml:space="preserve">במסגרת הבקשה לתיקון השומה הוצהר כי </w:t>
      </w:r>
      <w:r>
        <w:rPr>
          <w:rFonts w:ascii="David" w:hAnsi="David"/>
          <w:rtl/>
        </w:rPr>
        <w:t>–</w:t>
      </w:r>
      <w:r>
        <w:rPr>
          <w:rFonts w:ascii="David" w:hAnsi="David" w:hint="cs"/>
          <w:rtl/>
        </w:rPr>
        <w:t xml:space="preserve"> "בבעלות הרוכשים דירה נוספת והם מתחייבים למכרה בתוך 24  חודש כחוק" (נספח 6 לתצהיר מטעם המשיב). מאוחר יותר נטען כי בני הזוג </w:t>
      </w:r>
      <w:r w:rsidR="006E7546">
        <w:rPr>
          <w:rFonts w:ascii="David" w:hAnsi="David" w:hint="cs"/>
          <w:rtl/>
        </w:rPr>
        <w:t>לא זכרו את הסכם הממון ועל</w:t>
      </w:r>
      <w:r w:rsidR="00D66743">
        <w:rPr>
          <w:rFonts w:ascii="David" w:hAnsi="David" w:hint="cs"/>
          <w:rtl/>
        </w:rPr>
        <w:t xml:space="preserve"> כן לא דיווחו על ההפרדה הרכושית. יש קושי רב בקבלת גרסה זו לאור החשיבות הרבה שיוחסה מטעם רעיית העורר להפרדה הרכושית.</w:t>
      </w:r>
      <w:r w:rsidR="006E7546">
        <w:rPr>
          <w:rFonts w:ascii="David" w:hAnsi="David" w:hint="cs"/>
          <w:rtl/>
        </w:rPr>
        <w:t xml:space="preserve"> העורר תיאר את החובות בהם היה שקוע ואת העסקה מיום 25.11.12 מרובת הסיכונים </w:t>
      </w:r>
      <w:r w:rsidR="00B30376">
        <w:rPr>
          <w:rFonts w:ascii="David" w:hAnsi="David" w:hint="cs"/>
          <w:rtl/>
        </w:rPr>
        <w:t>שהובילה ל</w:t>
      </w:r>
      <w:r w:rsidR="00D66743">
        <w:rPr>
          <w:rFonts w:ascii="David" w:hAnsi="David" w:hint="cs"/>
          <w:rtl/>
        </w:rPr>
        <w:t>ח</w:t>
      </w:r>
      <w:r w:rsidR="00B30376">
        <w:rPr>
          <w:rFonts w:ascii="David" w:hAnsi="David" w:hint="cs"/>
          <w:rtl/>
        </w:rPr>
        <w:t>תימה על הסכם ממון</w:t>
      </w:r>
      <w:r w:rsidR="00101709">
        <w:rPr>
          <w:rFonts w:ascii="David" w:hAnsi="David" w:hint="cs"/>
          <w:rtl/>
        </w:rPr>
        <w:t>,</w:t>
      </w:r>
      <w:r w:rsidR="00B30376">
        <w:rPr>
          <w:rFonts w:ascii="David" w:hAnsi="David" w:hint="cs"/>
          <w:rtl/>
        </w:rPr>
        <w:t xml:space="preserve"> לצורך מיסוד פורמלי של ההפרדה הרכושית. בנסיבות אלה, כיצד פרח לו הסכם הממון מזכ</w:t>
      </w:r>
      <w:r w:rsidR="00F06137">
        <w:rPr>
          <w:rFonts w:ascii="David" w:hAnsi="David" w:hint="cs"/>
          <w:rtl/>
        </w:rPr>
        <w:t>ר</w:t>
      </w:r>
      <w:r w:rsidR="00B30376">
        <w:rPr>
          <w:rFonts w:ascii="David" w:hAnsi="David" w:hint="cs"/>
          <w:rtl/>
        </w:rPr>
        <w:t>ונם של בני הזוג? ל</w:t>
      </w:r>
      <w:r w:rsidR="00F06137">
        <w:rPr>
          <w:rFonts w:ascii="David" w:hAnsi="David" w:hint="cs"/>
          <w:rtl/>
        </w:rPr>
        <w:t>א שוכנעתי מהסבר העורר בהקשר זה ואי הבאת רעייתו למתן עדות (וחשיפתה לחקירה נגדית) פועלת לחובת העורר.</w:t>
      </w:r>
    </w:p>
    <w:p w:rsidR="004A5244" w:rsidRDefault="004A5244" w:rsidP="004A5244">
      <w:pPr>
        <w:pStyle w:val="ad"/>
        <w:spacing w:after="160" w:line="360" w:lineRule="auto"/>
        <w:jc w:val="both"/>
        <w:rPr>
          <w:rFonts w:ascii="David" w:hAnsi="David"/>
        </w:rPr>
      </w:pPr>
    </w:p>
    <w:p w:rsidR="00F06137" w:rsidRDefault="00B30376" w:rsidP="00F06137">
      <w:pPr>
        <w:pStyle w:val="ad"/>
        <w:numPr>
          <w:ilvl w:val="0"/>
          <w:numId w:val="1"/>
        </w:numPr>
        <w:spacing w:after="160" w:line="360" w:lineRule="auto"/>
        <w:jc w:val="both"/>
        <w:rPr>
          <w:rFonts w:ascii="David" w:hAnsi="David"/>
        </w:rPr>
      </w:pPr>
      <w:r>
        <w:rPr>
          <w:rFonts w:ascii="David" w:hAnsi="David" w:hint="cs"/>
          <w:rtl/>
        </w:rPr>
        <w:t>בכל הנוגע למימון הרכישה של הדירה ברח' זילברג, טען העורר</w:t>
      </w:r>
      <w:r w:rsidR="00F06137">
        <w:rPr>
          <w:rFonts w:ascii="David" w:hAnsi="David" w:hint="cs"/>
          <w:rtl/>
        </w:rPr>
        <w:t>, כאמור לעיל,</w:t>
      </w:r>
      <w:r>
        <w:rPr>
          <w:rFonts w:ascii="David" w:hAnsi="David" w:hint="cs"/>
          <w:rtl/>
        </w:rPr>
        <w:t xml:space="preserve"> כי השכרת הדירה ברח' מוצפי מימנה את תשלומי המשכתנה שנרשמה על הדירה</w:t>
      </w:r>
      <w:r w:rsidR="00F06137">
        <w:rPr>
          <w:rFonts w:ascii="David" w:hAnsi="David" w:hint="cs"/>
          <w:rtl/>
        </w:rPr>
        <w:t xml:space="preserve"> ברחוב</w:t>
      </w:r>
      <w:r>
        <w:rPr>
          <w:rFonts w:ascii="David" w:hAnsi="David" w:hint="cs"/>
          <w:rtl/>
        </w:rPr>
        <w:t xml:space="preserve"> זילברג. גרסה זו בעיתית בלשון ה</w:t>
      </w:r>
      <w:r w:rsidR="00F06137">
        <w:rPr>
          <w:rFonts w:ascii="David" w:hAnsi="David" w:hint="cs"/>
          <w:rtl/>
        </w:rPr>
        <w:t>מ</w:t>
      </w:r>
      <w:r>
        <w:rPr>
          <w:rFonts w:ascii="David" w:hAnsi="David" w:hint="cs"/>
          <w:rtl/>
        </w:rPr>
        <w:t xml:space="preserve">עטה, מאחר והסכם המשכנתה נחתם באוקטובר 2018 ואילו דמי </w:t>
      </w:r>
      <w:r>
        <w:rPr>
          <w:rFonts w:ascii="David" w:hAnsi="David" w:hint="cs"/>
          <w:rtl/>
        </w:rPr>
        <w:lastRenderedPageBreak/>
        <w:t>השכירות שולמו רק החל מאוקטובר 2021, שלוש שנים מא</w:t>
      </w:r>
      <w:r w:rsidR="00F06137">
        <w:rPr>
          <w:rFonts w:ascii="David" w:hAnsi="David" w:hint="cs"/>
          <w:rtl/>
        </w:rPr>
        <w:t>ו</w:t>
      </w:r>
      <w:r>
        <w:rPr>
          <w:rFonts w:ascii="David" w:hAnsi="David" w:hint="cs"/>
          <w:rtl/>
        </w:rPr>
        <w:t xml:space="preserve">חר יותר. בחקירתו הנגדית נשאל העורר על כך והשיב (עמ' 11 לפרוטוקול, שורות 18-19): </w:t>
      </w:r>
    </w:p>
    <w:p w:rsidR="00F06137" w:rsidRPr="00F06137" w:rsidRDefault="00F06137" w:rsidP="00F06137">
      <w:pPr>
        <w:pStyle w:val="ad"/>
        <w:rPr>
          <w:rFonts w:ascii="David" w:hAnsi="David"/>
          <w:rtl/>
        </w:rPr>
      </w:pPr>
    </w:p>
    <w:p w:rsidR="00F06137" w:rsidRDefault="00B30376" w:rsidP="00F06137">
      <w:pPr>
        <w:spacing w:after="160" w:line="360" w:lineRule="auto"/>
        <w:ind w:left="1440"/>
        <w:jc w:val="both"/>
        <w:rPr>
          <w:rFonts w:ascii="David" w:hAnsi="David"/>
          <w:rtl/>
        </w:rPr>
      </w:pPr>
      <w:r w:rsidRPr="00F06137">
        <w:rPr>
          <w:rFonts w:ascii="David" w:hAnsi="David" w:hint="cs"/>
          <w:rtl/>
        </w:rPr>
        <w:t xml:space="preserve">"בכל שנה אני מעביר לחשבון של ריקי כ-130,000 ₪ לכסות את העלויות שלה, שביניהם זה גם תשלומי המשכנתה. </w:t>
      </w:r>
      <w:r w:rsidRPr="00F06137">
        <w:rPr>
          <w:rFonts w:ascii="David" w:hAnsi="David" w:hint="cs"/>
          <w:b/>
          <w:bCs/>
          <w:rtl/>
        </w:rPr>
        <w:t xml:space="preserve">אני מתקן, לגבי הדירה בזילברג, רק </w:t>
      </w:r>
      <w:r w:rsidR="00F06137">
        <w:rPr>
          <w:rFonts w:ascii="David" w:hAnsi="David" w:hint="cs"/>
          <w:b/>
          <w:bCs/>
          <w:rtl/>
        </w:rPr>
        <w:t xml:space="preserve">אני </w:t>
      </w:r>
      <w:r w:rsidRPr="00F06137">
        <w:rPr>
          <w:rFonts w:ascii="David" w:hAnsi="David" w:hint="cs"/>
          <w:b/>
          <w:bCs/>
          <w:rtl/>
        </w:rPr>
        <w:t>משלם את המשכנת</w:t>
      </w:r>
      <w:r w:rsidR="00F06137">
        <w:rPr>
          <w:rFonts w:ascii="David" w:hAnsi="David" w:hint="cs"/>
          <w:b/>
          <w:bCs/>
          <w:rtl/>
        </w:rPr>
        <w:t>א</w:t>
      </w:r>
      <w:r w:rsidR="00F06137">
        <w:rPr>
          <w:rFonts w:ascii="David" w:hAnsi="David" w:hint="cs"/>
          <w:rtl/>
        </w:rPr>
        <w:t>" [הדגשה לא במקור].</w:t>
      </w:r>
    </w:p>
    <w:p w:rsidR="00B30376" w:rsidRPr="00F06137" w:rsidRDefault="00B30376" w:rsidP="00101709">
      <w:pPr>
        <w:spacing w:after="160" w:line="360" w:lineRule="auto"/>
        <w:ind w:left="720"/>
        <w:jc w:val="both"/>
        <w:rPr>
          <w:rFonts w:ascii="David" w:hAnsi="David"/>
        </w:rPr>
      </w:pPr>
      <w:r w:rsidRPr="00F06137">
        <w:rPr>
          <w:rFonts w:ascii="David" w:hAnsi="David" w:hint="cs"/>
          <w:rtl/>
        </w:rPr>
        <w:t>מכאן עולה כ</w:t>
      </w:r>
      <w:r w:rsidR="00F06137">
        <w:rPr>
          <w:rFonts w:ascii="David" w:hAnsi="David" w:hint="cs"/>
          <w:rtl/>
        </w:rPr>
        <w:t>י</w:t>
      </w:r>
      <w:r w:rsidRPr="00F06137">
        <w:rPr>
          <w:rFonts w:ascii="David" w:hAnsi="David" w:hint="cs"/>
          <w:rtl/>
        </w:rPr>
        <w:t xml:space="preserve"> אף שבבעלות העורר רק מחצית מזכויות הבעלות בדירה, הוא נושא לבדו בתשלום המשכ</w:t>
      </w:r>
      <w:r w:rsidR="00101709">
        <w:rPr>
          <w:rFonts w:ascii="David" w:hAnsi="David" w:hint="cs"/>
          <w:rtl/>
        </w:rPr>
        <w:t>נ</w:t>
      </w:r>
      <w:r w:rsidRPr="00F06137">
        <w:rPr>
          <w:rFonts w:ascii="David" w:hAnsi="David" w:hint="cs"/>
          <w:rtl/>
        </w:rPr>
        <w:t>תה כולה. כיצד מתיישבת עובדה זו עם טענת ההפרדה הרכושית הקפדנית?</w:t>
      </w:r>
    </w:p>
    <w:p w:rsidR="004A5244" w:rsidRDefault="004A5244" w:rsidP="004A5244">
      <w:pPr>
        <w:pStyle w:val="ad"/>
        <w:spacing w:after="160" w:line="360" w:lineRule="auto"/>
        <w:jc w:val="both"/>
        <w:rPr>
          <w:rFonts w:ascii="David" w:hAnsi="David"/>
        </w:rPr>
      </w:pPr>
    </w:p>
    <w:p w:rsidR="00B30376" w:rsidRDefault="00B30376" w:rsidP="00224BF2">
      <w:pPr>
        <w:pStyle w:val="ad"/>
        <w:numPr>
          <w:ilvl w:val="0"/>
          <w:numId w:val="1"/>
        </w:numPr>
        <w:spacing w:after="160" w:line="360" w:lineRule="auto"/>
        <w:jc w:val="both"/>
        <w:rPr>
          <w:rFonts w:ascii="David" w:hAnsi="David"/>
        </w:rPr>
      </w:pPr>
      <w:r>
        <w:rPr>
          <w:rFonts w:ascii="David" w:hAnsi="David" w:hint="cs"/>
          <w:rtl/>
        </w:rPr>
        <w:t>זאת ועוד, בחקירתו הנגדית טען העורר כי דמי השכ</w:t>
      </w:r>
      <w:r w:rsidR="00224BF2">
        <w:rPr>
          <w:rFonts w:ascii="David" w:hAnsi="David" w:hint="cs"/>
          <w:rtl/>
        </w:rPr>
        <w:t>י</w:t>
      </w:r>
      <w:r>
        <w:rPr>
          <w:rFonts w:ascii="David" w:hAnsi="David" w:hint="cs"/>
          <w:rtl/>
        </w:rPr>
        <w:t>רות המשולמים עבור הדירה ברח' מוצפי מ</w:t>
      </w:r>
      <w:r w:rsidR="00224BF2">
        <w:rPr>
          <w:rFonts w:ascii="David" w:hAnsi="David" w:hint="cs"/>
          <w:rtl/>
        </w:rPr>
        <w:t>ועברים</w:t>
      </w:r>
      <w:r>
        <w:rPr>
          <w:rFonts w:ascii="David" w:hAnsi="David" w:hint="cs"/>
          <w:rtl/>
        </w:rPr>
        <w:t xml:space="preserve"> לרעייתו, בהעברה בנקאית </w:t>
      </w:r>
      <w:r w:rsidR="00224BF2">
        <w:rPr>
          <w:rFonts w:ascii="David" w:hAnsi="David" w:hint="cs"/>
          <w:rtl/>
        </w:rPr>
        <w:t xml:space="preserve">או </w:t>
      </w:r>
      <w:r>
        <w:rPr>
          <w:rFonts w:ascii="David" w:hAnsi="David" w:hint="cs"/>
          <w:rtl/>
        </w:rPr>
        <w:t>במזומן (עמ' 7 לפרוטוקול). בהקשר זה לא הוצג הסכם שכירות או תיעוד על העברות בנקאיות לחשבון הבנק של רעייתו. לכך מתווספת ההח</w:t>
      </w:r>
      <w:r w:rsidR="00224BF2">
        <w:rPr>
          <w:rFonts w:ascii="David" w:hAnsi="David" w:hint="cs"/>
          <w:rtl/>
        </w:rPr>
        <w:t>ל</w:t>
      </w:r>
      <w:r>
        <w:rPr>
          <w:rFonts w:ascii="David" w:hAnsi="David" w:hint="cs"/>
          <w:rtl/>
        </w:rPr>
        <w:t xml:space="preserve">טה שלא להעיד </w:t>
      </w:r>
      <w:r w:rsidR="00CE49D8">
        <w:rPr>
          <w:rFonts w:ascii="David" w:hAnsi="David" w:hint="cs"/>
          <w:rtl/>
        </w:rPr>
        <w:t xml:space="preserve">את רעייתו, באופן שהעדות היחידה באה מפיו של העורר, ולללא אסמכתאות תומכות, דבר שמעמיד בספק את גרסתו. </w:t>
      </w:r>
    </w:p>
    <w:p w:rsidR="004A5244" w:rsidRDefault="004A5244" w:rsidP="004A5244">
      <w:pPr>
        <w:pStyle w:val="ad"/>
        <w:spacing w:after="160" w:line="360" w:lineRule="auto"/>
        <w:jc w:val="both"/>
        <w:rPr>
          <w:rFonts w:ascii="David" w:hAnsi="David"/>
        </w:rPr>
      </w:pPr>
    </w:p>
    <w:p w:rsidR="00CE49D8" w:rsidRDefault="00CE49D8" w:rsidP="00224BF2">
      <w:pPr>
        <w:pStyle w:val="ad"/>
        <w:numPr>
          <w:ilvl w:val="0"/>
          <w:numId w:val="1"/>
        </w:numPr>
        <w:spacing w:after="160" w:line="360" w:lineRule="auto"/>
        <w:jc w:val="both"/>
        <w:rPr>
          <w:rFonts w:ascii="David" w:hAnsi="David"/>
        </w:rPr>
      </w:pPr>
      <w:r>
        <w:rPr>
          <w:rFonts w:ascii="David" w:hAnsi="David" w:hint="cs"/>
          <w:rtl/>
        </w:rPr>
        <w:t>בכל הנוגע לחשבונות הבנק הנפרדים של בני הזוג והעדר חשבון בנק משותף, הפנה המשיב ליפוי הכוח</w:t>
      </w:r>
      <w:r w:rsidR="00224BF2">
        <w:rPr>
          <w:rFonts w:ascii="David" w:hAnsi="David" w:hint="cs"/>
          <w:rtl/>
        </w:rPr>
        <w:t xml:space="preserve"> ש</w:t>
      </w:r>
      <w:r>
        <w:rPr>
          <w:rFonts w:ascii="David" w:hAnsi="David" w:hint="cs"/>
          <w:rtl/>
        </w:rPr>
        <w:t>היה בידי העורר בחשבון הבנק של רעייתו בבנק לאומי. בחקירתו הנגדית טען העורר כי הבנק חייב אותו להיות מיופה כח בחשבון רעייתו, מכיוון שהוא טיפל בכל העניינים האדמיניסטר</w:t>
      </w:r>
      <w:r w:rsidR="00224BF2">
        <w:rPr>
          <w:rFonts w:ascii="David" w:hAnsi="David" w:hint="cs"/>
          <w:rtl/>
        </w:rPr>
        <w:t>ט</w:t>
      </w:r>
      <w:r>
        <w:rPr>
          <w:rFonts w:ascii="David" w:hAnsi="David" w:hint="cs"/>
          <w:rtl/>
        </w:rPr>
        <w:t>יביים (עמ' 13 לפרוטוקול, שורות 12-14). גם הסבר זה לא עולה בקנה אחד עם הטענה כי כל אחד מבנ</w:t>
      </w:r>
      <w:r w:rsidR="00224BF2">
        <w:rPr>
          <w:rFonts w:ascii="David" w:hAnsi="David" w:hint="cs"/>
          <w:rtl/>
        </w:rPr>
        <w:t>י</w:t>
      </w:r>
      <w:r>
        <w:rPr>
          <w:rFonts w:ascii="David" w:hAnsi="David" w:hint="cs"/>
          <w:rtl/>
        </w:rPr>
        <w:t xml:space="preserve"> הזוג מנהל את עניינו בחשב</w:t>
      </w:r>
      <w:r w:rsidR="00224BF2">
        <w:rPr>
          <w:rFonts w:ascii="David" w:hAnsi="David" w:hint="cs"/>
          <w:rtl/>
        </w:rPr>
        <w:t>ו</w:t>
      </w:r>
      <w:r>
        <w:rPr>
          <w:rFonts w:ascii="David" w:hAnsi="David" w:hint="cs"/>
          <w:rtl/>
        </w:rPr>
        <w:t xml:space="preserve">ן בנק באופן עצמאי על שמו (סעיף 20 לתצהיר העורר). העורר טען כי הוא מעולם לא ביצע פעולה בחשבון הבנק של רעייתו (נספח 3 לכתב התשובה מטעם המשיב, בעמ' 5). אי הבאת </w:t>
      </w:r>
      <w:r w:rsidR="00224BF2">
        <w:rPr>
          <w:rFonts w:ascii="David" w:hAnsi="David" w:hint="cs"/>
          <w:rtl/>
        </w:rPr>
        <w:t>רעייתו של העורר לעדות בבית המשפ</w:t>
      </w:r>
      <w:r>
        <w:rPr>
          <w:rFonts w:ascii="David" w:hAnsi="David" w:hint="cs"/>
          <w:rtl/>
        </w:rPr>
        <w:t>ט</w:t>
      </w:r>
      <w:r w:rsidR="00224BF2">
        <w:rPr>
          <w:rFonts w:ascii="David" w:hAnsi="David" w:hint="cs"/>
          <w:rtl/>
        </w:rPr>
        <w:t xml:space="preserve"> מנע את חקירתה הנגדית,ש</w:t>
      </w:r>
      <w:r>
        <w:rPr>
          <w:rFonts w:ascii="David" w:hAnsi="David" w:hint="cs"/>
          <w:rtl/>
        </w:rPr>
        <w:t xml:space="preserve">הייתה יכולה לשפוך אור על התנהלותה העצמאית בהקשר לחשבון הבנק הנ"ל. </w:t>
      </w:r>
    </w:p>
    <w:p w:rsidR="004A5244" w:rsidRDefault="004A5244" w:rsidP="004A5244">
      <w:pPr>
        <w:pStyle w:val="ad"/>
        <w:spacing w:after="160" w:line="360" w:lineRule="auto"/>
        <w:jc w:val="both"/>
        <w:rPr>
          <w:rFonts w:ascii="David" w:hAnsi="David"/>
        </w:rPr>
      </w:pPr>
    </w:p>
    <w:p w:rsidR="00CE49D8" w:rsidRDefault="00CE49D8" w:rsidP="00224BF2">
      <w:pPr>
        <w:pStyle w:val="ad"/>
        <w:numPr>
          <w:ilvl w:val="0"/>
          <w:numId w:val="1"/>
        </w:numPr>
        <w:spacing w:after="160" w:line="360" w:lineRule="auto"/>
        <w:jc w:val="both"/>
        <w:rPr>
          <w:rFonts w:ascii="David" w:hAnsi="David"/>
        </w:rPr>
      </w:pPr>
      <w:r>
        <w:rPr>
          <w:rFonts w:ascii="David" w:hAnsi="David" w:hint="cs"/>
          <w:rtl/>
        </w:rPr>
        <w:t>העורר העלה טענות נוספות, התומכות, לטענתו, בעמדתו. טענה אחת, נוגעת לכך שרעייתו לא שינתה את שם נעוריה</w:t>
      </w:r>
      <w:r w:rsidR="00224BF2">
        <w:rPr>
          <w:rFonts w:ascii="David" w:hAnsi="David" w:hint="cs"/>
          <w:rtl/>
        </w:rPr>
        <w:t xml:space="preserve"> </w:t>
      </w:r>
      <w:r>
        <w:rPr>
          <w:rFonts w:ascii="David" w:hAnsi="David" w:hint="cs"/>
          <w:rtl/>
        </w:rPr>
        <w:t>בעקבות נישואי בני הזוג, בשונה מן הנהוג במגזר החרדי. איני סבור שיש לתת לכך משקל משמעותי בנ</w:t>
      </w:r>
      <w:r w:rsidR="00224BF2">
        <w:rPr>
          <w:rFonts w:ascii="David" w:hAnsi="David" w:hint="cs"/>
          <w:rtl/>
        </w:rPr>
        <w:t>ו</w:t>
      </w:r>
      <w:r>
        <w:rPr>
          <w:rFonts w:ascii="David" w:hAnsi="David" w:hint="cs"/>
          <w:rtl/>
        </w:rPr>
        <w:t>גע למחלוקת המס וגם בסוגיה זו, המנעות רעיית העורר ממתן עדות ומח</w:t>
      </w:r>
      <w:r w:rsidR="00224BF2">
        <w:rPr>
          <w:rFonts w:ascii="David" w:hAnsi="David" w:hint="cs"/>
          <w:rtl/>
        </w:rPr>
        <w:t>ק</w:t>
      </w:r>
      <w:r>
        <w:rPr>
          <w:rFonts w:ascii="David" w:hAnsi="David" w:hint="cs"/>
          <w:rtl/>
        </w:rPr>
        <w:t>י</w:t>
      </w:r>
      <w:r w:rsidR="00224BF2">
        <w:rPr>
          <w:rFonts w:ascii="David" w:hAnsi="David" w:hint="cs"/>
          <w:rtl/>
        </w:rPr>
        <w:t>ר</w:t>
      </w:r>
      <w:r>
        <w:rPr>
          <w:rFonts w:ascii="David" w:hAnsi="David" w:hint="cs"/>
          <w:rtl/>
        </w:rPr>
        <w:t xml:space="preserve">ה נגדית, פועלת </w:t>
      </w:r>
      <w:r w:rsidR="00224BF2">
        <w:rPr>
          <w:rFonts w:ascii="David" w:hAnsi="David" w:hint="cs"/>
          <w:rtl/>
        </w:rPr>
        <w:t>לחובת</w:t>
      </w:r>
      <w:r>
        <w:rPr>
          <w:rFonts w:ascii="David" w:hAnsi="David" w:hint="cs"/>
          <w:rtl/>
        </w:rPr>
        <w:t xml:space="preserve"> העורר. עוד נטען, כי במקרה (היפוטטי) של גירושין, לעורר לא יהיה חלק בדירה ברח' מוצפי, שתשאר בבעלות העוררת בלבד. מדובר באירוע שלא התרחש ובסוגיה החורגת לחלוטין מהמחלוקת בתיק מיסוי זה, באופן שאין לת</w:t>
      </w:r>
      <w:r w:rsidR="004A5244">
        <w:rPr>
          <w:rFonts w:ascii="David" w:hAnsi="David" w:hint="cs"/>
          <w:rtl/>
        </w:rPr>
        <w:t>ת</w:t>
      </w:r>
      <w:r>
        <w:rPr>
          <w:rFonts w:ascii="David" w:hAnsi="David" w:hint="cs"/>
          <w:rtl/>
        </w:rPr>
        <w:t xml:space="preserve"> לה מש</w:t>
      </w:r>
      <w:r w:rsidR="004A5244">
        <w:rPr>
          <w:rFonts w:ascii="David" w:hAnsi="David" w:hint="cs"/>
          <w:rtl/>
        </w:rPr>
        <w:t xml:space="preserve">קל. </w:t>
      </w:r>
    </w:p>
    <w:p w:rsidR="004A5244" w:rsidRDefault="004A5244" w:rsidP="004A5244">
      <w:pPr>
        <w:pStyle w:val="ad"/>
        <w:spacing w:after="160" w:line="360" w:lineRule="auto"/>
        <w:jc w:val="both"/>
        <w:rPr>
          <w:rFonts w:ascii="David" w:hAnsi="David"/>
        </w:rPr>
      </w:pPr>
    </w:p>
    <w:p w:rsidR="004A5244" w:rsidRDefault="004A5244" w:rsidP="00101709">
      <w:pPr>
        <w:pStyle w:val="ad"/>
        <w:numPr>
          <w:ilvl w:val="0"/>
          <w:numId w:val="1"/>
        </w:numPr>
        <w:spacing w:after="160" w:line="360" w:lineRule="auto"/>
        <w:jc w:val="both"/>
        <w:rPr>
          <w:rFonts w:ascii="David" w:hAnsi="David"/>
        </w:rPr>
      </w:pPr>
      <w:r>
        <w:rPr>
          <w:rFonts w:ascii="David" w:hAnsi="David" w:hint="cs"/>
          <w:rtl/>
        </w:rPr>
        <w:lastRenderedPageBreak/>
        <w:t>לאור האמור לעיל, מסקנתי הינה כי</w:t>
      </w:r>
      <w:r w:rsidR="00224BF2">
        <w:rPr>
          <w:rFonts w:ascii="David" w:hAnsi="David" w:hint="cs"/>
          <w:rtl/>
        </w:rPr>
        <w:t xml:space="preserve"> </w:t>
      </w:r>
      <w:r>
        <w:rPr>
          <w:rFonts w:ascii="David" w:hAnsi="David" w:hint="cs"/>
          <w:rtl/>
        </w:rPr>
        <w:t>לא עלה בידי העורר לסתור את החזקה כי מדובר בר</w:t>
      </w:r>
      <w:r w:rsidR="00101709">
        <w:rPr>
          <w:rFonts w:ascii="David" w:hAnsi="David" w:hint="cs"/>
          <w:rtl/>
        </w:rPr>
        <w:t>ו</w:t>
      </w:r>
      <w:r>
        <w:rPr>
          <w:rFonts w:ascii="David" w:hAnsi="David" w:hint="cs"/>
          <w:rtl/>
        </w:rPr>
        <w:t xml:space="preserve">כש אחד במובן החוק ולהוכיח את החריג בדבר </w:t>
      </w:r>
      <w:r w:rsidR="00224BF2">
        <w:rPr>
          <w:rFonts w:ascii="David" w:hAnsi="David" w:hint="cs"/>
          <w:rtl/>
        </w:rPr>
        <w:t>ה</w:t>
      </w:r>
      <w:r>
        <w:rPr>
          <w:rFonts w:ascii="David" w:hAnsi="David" w:hint="cs"/>
          <w:rtl/>
        </w:rPr>
        <w:t xml:space="preserve">הפרדה </w:t>
      </w:r>
      <w:r w:rsidR="00224BF2">
        <w:rPr>
          <w:rFonts w:ascii="David" w:hAnsi="David" w:hint="cs"/>
          <w:rtl/>
        </w:rPr>
        <w:t>ה</w:t>
      </w:r>
      <w:r>
        <w:rPr>
          <w:rFonts w:ascii="David" w:hAnsi="David" w:hint="cs"/>
          <w:rtl/>
        </w:rPr>
        <w:t>רכ</w:t>
      </w:r>
      <w:r w:rsidR="00224BF2">
        <w:rPr>
          <w:rFonts w:ascii="David" w:hAnsi="David" w:hint="cs"/>
          <w:rtl/>
        </w:rPr>
        <w:t>ו</w:t>
      </w:r>
      <w:r>
        <w:rPr>
          <w:rFonts w:ascii="David" w:hAnsi="David" w:hint="cs"/>
          <w:rtl/>
        </w:rPr>
        <w:t>ש</w:t>
      </w:r>
      <w:r w:rsidR="00224BF2">
        <w:rPr>
          <w:rFonts w:ascii="David" w:hAnsi="David" w:hint="cs"/>
          <w:rtl/>
        </w:rPr>
        <w:t>י</w:t>
      </w:r>
      <w:r>
        <w:rPr>
          <w:rFonts w:ascii="David" w:hAnsi="David" w:hint="cs"/>
          <w:rtl/>
        </w:rPr>
        <w:t xml:space="preserve">ת </w:t>
      </w:r>
      <w:r w:rsidR="00224BF2">
        <w:rPr>
          <w:rFonts w:ascii="David" w:hAnsi="David" w:hint="cs"/>
          <w:rtl/>
        </w:rPr>
        <w:t>וכ</w:t>
      </w:r>
      <w:r w:rsidR="004C303E">
        <w:rPr>
          <w:rFonts w:ascii="David" w:hAnsi="David" w:hint="cs"/>
          <w:rtl/>
        </w:rPr>
        <w:t>י הפרדה זו</w:t>
      </w:r>
      <w:r>
        <w:rPr>
          <w:rFonts w:ascii="David" w:hAnsi="David" w:hint="cs"/>
          <w:rtl/>
        </w:rPr>
        <w:t xml:space="preserve"> נשמרה הלכה למעשה ולא נזנחה במהלך החיים המשותפים. </w:t>
      </w:r>
    </w:p>
    <w:p w:rsidR="004A5244" w:rsidRDefault="004A5244" w:rsidP="004A5244">
      <w:pPr>
        <w:pStyle w:val="ad"/>
        <w:spacing w:after="160" w:line="360" w:lineRule="auto"/>
        <w:jc w:val="both"/>
        <w:rPr>
          <w:rFonts w:ascii="David" w:hAnsi="David"/>
          <w:rtl/>
        </w:rPr>
      </w:pPr>
    </w:p>
    <w:p w:rsidR="004A5244" w:rsidRPr="00DA7F2D" w:rsidRDefault="004A5244" w:rsidP="004A5244">
      <w:pPr>
        <w:pStyle w:val="ad"/>
        <w:spacing w:after="160" w:line="360" w:lineRule="auto"/>
        <w:jc w:val="both"/>
        <w:rPr>
          <w:rFonts w:ascii="David" w:hAnsi="David"/>
          <w:b/>
          <w:bCs/>
          <w:u w:val="single"/>
        </w:rPr>
      </w:pPr>
      <w:r w:rsidRPr="00DA7F2D">
        <w:rPr>
          <w:rFonts w:ascii="David" w:hAnsi="David" w:hint="cs"/>
          <w:b/>
          <w:bCs/>
          <w:u w:val="single"/>
          <w:rtl/>
        </w:rPr>
        <w:t>סוף דבר</w:t>
      </w:r>
    </w:p>
    <w:p w:rsidR="00CE49D8" w:rsidRPr="00217832" w:rsidRDefault="004A5244" w:rsidP="00217832">
      <w:pPr>
        <w:pStyle w:val="ad"/>
        <w:numPr>
          <w:ilvl w:val="0"/>
          <w:numId w:val="1"/>
        </w:numPr>
        <w:spacing w:after="160" w:line="360" w:lineRule="auto"/>
        <w:jc w:val="both"/>
        <w:rPr>
          <w:rFonts w:ascii="David" w:hAnsi="David"/>
          <w:rtl/>
        </w:rPr>
      </w:pPr>
      <w:r w:rsidRPr="00217832">
        <w:rPr>
          <w:rFonts w:ascii="David" w:hAnsi="David" w:hint="cs"/>
          <w:rtl/>
        </w:rPr>
        <w:t>מכל הטעמים המפורטים לעיל, אמליץ לחברות הוועדה לדחות את הערר. בכל הנוגע להוצאות המשפט, אמליץ לחייב את העורר לשלם למשיב הוצאות ושכ"ט עו"ד בסכום כולל של 2</w:t>
      </w:r>
      <w:r w:rsidR="004C303E" w:rsidRPr="00217832">
        <w:rPr>
          <w:rFonts w:ascii="David" w:hAnsi="David" w:hint="cs"/>
          <w:rtl/>
        </w:rPr>
        <w:t>5</w:t>
      </w:r>
      <w:r w:rsidRPr="00217832">
        <w:rPr>
          <w:rFonts w:ascii="David" w:hAnsi="David" w:hint="cs"/>
          <w:rtl/>
        </w:rPr>
        <w:t xml:space="preserve">,000 ₪ וזאת תוך 45 ימים מהיום. לאחר מועד זה יתווספו לסכום החיוב הנ"ל הפרשי הצמדה וריבית כחוק.  </w:t>
      </w:r>
    </w:p>
    <w:p w:rsidR="00217832" w:rsidRPr="00217832" w:rsidRDefault="00217832" w:rsidP="00217832">
      <w:pPr>
        <w:pStyle w:val="ad"/>
        <w:spacing w:after="160" w:line="360" w:lineRule="auto"/>
        <w:ind w:left="861"/>
        <w:jc w:val="both"/>
        <w:rPr>
          <w:rFonts w:ascii="David" w:hAnsi="David"/>
          <w:rtl/>
        </w:rPr>
      </w:pPr>
    </w:p>
    <w:p w:rsidR="004A5244" w:rsidRDefault="004A5244" w:rsidP="00101709">
      <w:pPr>
        <w:spacing w:after="160" w:line="360" w:lineRule="auto"/>
        <w:jc w:val="both"/>
        <w:rPr>
          <w:rFonts w:ascii="David" w:hAnsi="David"/>
          <w:b/>
          <w:bCs/>
          <w:rtl/>
        </w:rPr>
      </w:pPr>
      <w:r w:rsidRPr="00EA08BF">
        <w:rPr>
          <w:rFonts w:ascii="David" w:hAnsi="David" w:hint="cs"/>
          <w:b/>
          <w:bCs/>
          <w:rtl/>
        </w:rPr>
        <w:t>חברת הועדה, גבע בלטר</w:t>
      </w:r>
    </w:p>
    <w:p w:rsidR="00101709" w:rsidRDefault="00101709" w:rsidP="00101709">
      <w:pPr>
        <w:spacing w:after="160" w:line="360" w:lineRule="auto"/>
        <w:jc w:val="both"/>
        <w:rPr>
          <w:rFonts w:ascii="David" w:hAnsi="David"/>
          <w:b/>
          <w:bCs/>
          <w:rtl/>
        </w:rPr>
      </w:pPr>
      <w:r w:rsidRPr="00540442">
        <w:rPr>
          <w:rFonts w:ascii="David" w:hAnsi="David" w:hint="cs"/>
          <w:rtl/>
        </w:rPr>
        <w:t>אני מסכימה ומצטרפת לעמדתו של יושב ראש הועדה, כבוד השופט אביגדור דורות</w:t>
      </w:r>
      <w:r w:rsidR="00540442">
        <w:rPr>
          <w:rFonts w:ascii="David" w:hAnsi="David" w:hint="cs"/>
          <w:b/>
          <w:bCs/>
          <w:rtl/>
        </w:rPr>
        <w:t>.</w:t>
      </w:r>
    </w:p>
    <w:p w:rsidR="004A5244" w:rsidRDefault="004A5244" w:rsidP="00540442">
      <w:pPr>
        <w:spacing w:after="160" w:line="360" w:lineRule="auto"/>
        <w:jc w:val="both"/>
        <w:rPr>
          <w:rFonts w:ascii="David" w:hAnsi="David"/>
          <w:b/>
          <w:bCs/>
          <w:rtl/>
        </w:rPr>
      </w:pPr>
      <w:r w:rsidRPr="00EA08BF">
        <w:rPr>
          <w:rFonts w:ascii="David" w:hAnsi="David" w:hint="cs"/>
          <w:b/>
          <w:bCs/>
          <w:rtl/>
        </w:rPr>
        <w:t>חברת הועדה, נאוה סירקיס</w:t>
      </w:r>
    </w:p>
    <w:p w:rsidR="00540442" w:rsidRPr="00540442" w:rsidRDefault="00540442" w:rsidP="00540442">
      <w:pPr>
        <w:spacing w:after="160" w:line="360" w:lineRule="auto"/>
        <w:jc w:val="both"/>
        <w:rPr>
          <w:rFonts w:ascii="David" w:hAnsi="David"/>
          <w:rtl/>
        </w:rPr>
      </w:pPr>
      <w:r w:rsidRPr="00540442">
        <w:rPr>
          <w:rFonts w:ascii="David" w:hAnsi="David" w:hint="cs"/>
          <w:rtl/>
        </w:rPr>
        <w:t>אני מצטרפת בהסכמה לחוות דעתו של יושב ראש הועדה, כבוד השופט אביגדור דורות.</w:t>
      </w:r>
    </w:p>
    <w:p w:rsidR="004A5244" w:rsidRDefault="004A5244" w:rsidP="00540442">
      <w:pPr>
        <w:spacing w:after="160" w:line="360" w:lineRule="auto"/>
        <w:jc w:val="both"/>
        <w:rPr>
          <w:rFonts w:ascii="David" w:hAnsi="David"/>
          <w:rtl/>
        </w:rPr>
      </w:pPr>
      <w:r>
        <w:rPr>
          <w:rFonts w:ascii="David" w:hAnsi="David" w:hint="cs"/>
          <w:rtl/>
        </w:rPr>
        <w:t xml:space="preserve">כפועל יוצא מהאמור לעיל, הוחלט </w:t>
      </w:r>
      <w:r w:rsidR="00540442">
        <w:rPr>
          <w:rFonts w:ascii="David" w:hAnsi="David" w:hint="cs"/>
          <w:rtl/>
        </w:rPr>
        <w:t>לדחות את הערר ולחייב את העורר בתשלום הוצאות ושכ"ט כמפורט לעיל בפסקה 44.</w:t>
      </w:r>
    </w:p>
    <w:p w:rsidR="00EA08BF" w:rsidRDefault="00EA08BF" w:rsidP="00540442">
      <w:pPr>
        <w:spacing w:after="160" w:line="360" w:lineRule="auto"/>
        <w:jc w:val="both"/>
        <w:rPr>
          <w:rFonts w:ascii="David" w:hAnsi="David"/>
          <w:b/>
          <w:bCs/>
          <w:rtl/>
        </w:rPr>
      </w:pPr>
      <w:r w:rsidRPr="00EA08BF">
        <w:rPr>
          <w:rFonts w:ascii="David" w:hAnsi="David" w:hint="cs"/>
          <w:b/>
          <w:bCs/>
          <w:rtl/>
        </w:rPr>
        <w:t xml:space="preserve">המזכירות תמציא את פסק הדין לב"כ הצדדים. </w:t>
      </w:r>
    </w:p>
    <w:p w:rsidR="00694556" w:rsidRDefault="004E5C6D" w:rsidP="004E5C6D">
      <w:pPr>
        <w:spacing w:after="160" w:line="360" w:lineRule="auto"/>
        <w:jc w:val="both"/>
        <w:rPr>
          <w:rFonts w:ascii="David" w:hAnsi="David"/>
          <w:rtl/>
        </w:rPr>
      </w:pPr>
      <w:r>
        <w:rPr>
          <w:rFonts w:ascii="David" w:hAnsi="David" w:hint="cs"/>
          <w:rtl/>
        </w:rPr>
        <w:t xml:space="preserve">ניתן היום </w:t>
      </w:r>
      <w:r w:rsidR="0086087C">
        <w:rPr>
          <w:rFonts w:ascii="David" w:hAnsi="David" w:hint="cs"/>
          <w:rtl/>
        </w:rPr>
        <w:t>ד' אלול תשפ"ג</w:t>
      </w:r>
      <w:r w:rsidR="00EA08BF">
        <w:rPr>
          <w:rFonts w:ascii="David" w:hAnsi="David" w:hint="cs"/>
          <w:rtl/>
        </w:rPr>
        <w:t xml:space="preserve">, </w:t>
      </w:r>
      <w:r w:rsidR="0086087C">
        <w:rPr>
          <w:rFonts w:ascii="David" w:hAnsi="David" w:hint="cs"/>
          <w:rtl/>
        </w:rPr>
        <w:t xml:space="preserve">21 אוגוסט 2013 </w:t>
      </w:r>
      <w:r w:rsidR="00EA08BF">
        <w:rPr>
          <w:rFonts w:ascii="David" w:hAnsi="David" w:hint="cs"/>
          <w:rtl/>
        </w:rPr>
        <w:t xml:space="preserve">בהיעדר הצדדים. </w:t>
      </w:r>
    </w:p>
    <w:p w:rsidR="00C767A6" w:rsidRDefault="00C767A6" w:rsidP="00752081">
      <w:pPr>
        <w:spacing w:after="160" w:line="360" w:lineRule="auto"/>
        <w:jc w:val="both"/>
        <w:rPr>
          <w:rFonts w:ascii="David" w:hAnsi="David"/>
          <w:rtl/>
        </w:rPr>
      </w:pPr>
    </w:p>
    <w:tbl>
      <w:tblPr>
        <w:tblStyle w:val="a9"/>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2616"/>
        <w:gridCol w:w="2616"/>
        <w:gridCol w:w="2616"/>
      </w:tblGrid>
      <w:tr w:rsidR="00752081" w:rsidTr="00752081">
        <w:trPr>
          <w:trHeight w:val="364"/>
        </w:trPr>
        <w:tc>
          <w:tcPr>
            <w:tcW w:w="2616" w:type="dxa"/>
            <w:tcBorders>
              <w:top w:val="nil"/>
              <w:left w:val="nil"/>
              <w:bottom w:val="single" w:sz="4" w:space="0" w:color="auto"/>
              <w:right w:val="nil"/>
            </w:tcBorders>
          </w:tcPr>
          <w:p w:rsidR="00752081" w:rsidRDefault="00DD19C3">
            <w:pPr>
              <w:jc w:val="center"/>
              <w:rPr>
                <w:rFonts w:cs="Times New Roman"/>
                <w:noProof w:val="0"/>
              </w:rPr>
            </w:pPr>
            <w:sdt>
              <w:sdtPr>
                <w:rPr>
                  <w:rFonts w:cs="Times New Roman" w:hint="cs"/>
                  <w:rtl/>
                </w:rPr>
                <w:alias w:val="MergeField"/>
                <w:tag w:val="2144"/>
                <w:id w:val="150344867"/>
              </w:sdtPr>
              <w:sdtEndPr/>
              <w:sdtContent>
                <w:r w:rsidR="00752081">
                  <w:drawing>
                    <wp:inline distT="0" distB="0" distL="0" distR="0">
                      <wp:extent cx="1514475" cy="570865"/>
                      <wp:effectExtent l="0" t="0" r="9525" b="63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4475" cy="570865"/>
                              </a:xfrm>
                              <a:prstGeom prst="rect">
                                <a:avLst/>
                              </a:prstGeom>
                              <a:noFill/>
                              <a:ln>
                                <a:noFill/>
                              </a:ln>
                            </pic:spPr>
                          </pic:pic>
                        </a:graphicData>
                      </a:graphic>
                    </wp:inline>
                  </w:drawing>
                </w:r>
              </w:sdtContent>
            </w:sdt>
          </w:p>
          <w:p w:rsidR="00752081" w:rsidRDefault="00752081">
            <w:pPr>
              <w:jc w:val="center"/>
              <w:rPr>
                <w:sz w:val="26"/>
                <w:szCs w:val="26"/>
              </w:rPr>
            </w:pPr>
          </w:p>
        </w:tc>
        <w:tc>
          <w:tcPr>
            <w:tcW w:w="2616" w:type="dxa"/>
            <w:tcBorders>
              <w:top w:val="nil"/>
              <w:left w:val="nil"/>
              <w:bottom w:val="single" w:sz="4" w:space="0" w:color="auto"/>
              <w:right w:val="nil"/>
            </w:tcBorders>
            <w:vAlign w:val="center"/>
            <w:hideMark/>
          </w:tcPr>
          <w:p w:rsidR="00752081" w:rsidRDefault="007F6486">
            <w:pPr>
              <w:jc w:val="center"/>
              <w:rPr>
                <w:rFonts w:ascii="Calibri" w:hAnsi="Calibri" w:cs="Calibri"/>
                <w:sz w:val="22"/>
                <w:szCs w:val="22"/>
              </w:rPr>
            </w:pPr>
            <w:r>
              <w:drawing>
                <wp:inline distT="0" distB="0" distL="0" distR="0" wp14:anchorId="6A7D1879" wp14:editId="73C5A3E8">
                  <wp:extent cx="1246606" cy="826618"/>
                  <wp:effectExtent l="0" t="0" r="0" b="0"/>
                  <wp:docPr id="9" name="תמונה 8"/>
                  <wp:cNvGraphicFramePr/>
                  <a:graphic xmlns:a="http://schemas.openxmlformats.org/drawingml/2006/main">
                    <a:graphicData uri="http://schemas.openxmlformats.org/drawingml/2006/picture">
                      <pic:pic xmlns:pic="http://schemas.openxmlformats.org/drawingml/2006/picture">
                        <pic:nvPicPr>
                          <pic:cNvPr id="9" name="תמונה 8"/>
                          <pic:cNvPicPr/>
                        </pic:nvPicPr>
                        <pic:blipFill>
                          <a:blip r:embed="rId10"/>
                          <a:stretch>
                            <a:fillRect/>
                          </a:stretch>
                        </pic:blipFill>
                        <pic:spPr>
                          <a:xfrm>
                            <a:off x="0" y="0"/>
                            <a:ext cx="1273195" cy="844249"/>
                          </a:xfrm>
                          <a:prstGeom prst="rect">
                            <a:avLst/>
                          </a:prstGeom>
                        </pic:spPr>
                      </pic:pic>
                    </a:graphicData>
                  </a:graphic>
                </wp:inline>
              </w:drawing>
            </w:r>
          </w:p>
        </w:tc>
        <w:tc>
          <w:tcPr>
            <w:tcW w:w="2616" w:type="dxa"/>
            <w:tcBorders>
              <w:top w:val="nil"/>
              <w:left w:val="nil"/>
              <w:bottom w:val="single" w:sz="4" w:space="0" w:color="auto"/>
              <w:right w:val="nil"/>
            </w:tcBorders>
            <w:hideMark/>
          </w:tcPr>
          <w:p w:rsidR="00752081" w:rsidRDefault="00752081">
            <w:pPr>
              <w:jc w:val="center"/>
            </w:pPr>
            <w:r>
              <w:drawing>
                <wp:inline distT="0" distB="0" distL="0" distR="0">
                  <wp:extent cx="1141095" cy="665480"/>
                  <wp:effectExtent l="0" t="0" r="1905" b="1270"/>
                  <wp:docPr id="2" name="תמונה 2" descr="גבע בלט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descr="גבע בלטר"/>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1095" cy="665480"/>
                          </a:xfrm>
                          <a:prstGeom prst="rect">
                            <a:avLst/>
                          </a:prstGeom>
                          <a:noFill/>
                          <a:ln>
                            <a:noFill/>
                          </a:ln>
                        </pic:spPr>
                      </pic:pic>
                    </a:graphicData>
                  </a:graphic>
                </wp:inline>
              </w:drawing>
            </w:r>
          </w:p>
        </w:tc>
      </w:tr>
      <w:tr w:rsidR="00752081" w:rsidTr="00752081">
        <w:trPr>
          <w:trHeight w:val="415"/>
        </w:trPr>
        <w:tc>
          <w:tcPr>
            <w:tcW w:w="2616" w:type="dxa"/>
            <w:tcBorders>
              <w:top w:val="single" w:sz="4" w:space="0" w:color="auto"/>
              <w:left w:val="nil"/>
              <w:bottom w:val="nil"/>
              <w:right w:val="nil"/>
            </w:tcBorders>
            <w:hideMark/>
          </w:tcPr>
          <w:p w:rsidR="00752081" w:rsidRDefault="00DD19C3">
            <w:pPr>
              <w:jc w:val="center"/>
              <w:rPr>
                <w:b/>
                <w:bCs/>
                <w:sz w:val="26"/>
                <w:szCs w:val="26"/>
                <w:rtl/>
              </w:rPr>
            </w:pPr>
            <w:sdt>
              <w:sdtPr>
                <w:rPr>
                  <w:rtl/>
                </w:rPr>
                <w:alias w:val="2141"/>
                <w:tag w:val="2141"/>
                <w:id w:val="397489073"/>
                <w:text w:multiLine="1"/>
              </w:sdtPr>
              <w:sdtEndPr/>
              <w:sdtContent>
                <w:r w:rsidR="00752081">
                  <w:rPr>
                    <w:b/>
                    <w:bCs/>
                    <w:sz w:val="26"/>
                    <w:szCs w:val="26"/>
                    <w:rtl/>
                  </w:rPr>
                  <w:t>אביגדור</w:t>
                </w:r>
              </w:sdtContent>
            </w:sdt>
            <w:r w:rsidR="00752081">
              <w:rPr>
                <w:b/>
                <w:bCs/>
                <w:sz w:val="26"/>
                <w:szCs w:val="26"/>
                <w:rtl/>
              </w:rPr>
              <w:t xml:space="preserve"> </w:t>
            </w:r>
            <w:sdt>
              <w:sdtPr>
                <w:rPr>
                  <w:rFonts w:cs="Times New Roman" w:hint="cs"/>
                  <w:rtl/>
                </w:rPr>
                <w:alias w:val="2142"/>
                <w:tag w:val="2142"/>
                <w:id w:val="1338662612"/>
                <w:text w:multiLine="1"/>
              </w:sdtPr>
              <w:sdtEndPr/>
              <w:sdtContent>
                <w:r w:rsidR="00752081">
                  <w:rPr>
                    <w:b/>
                    <w:bCs/>
                    <w:sz w:val="26"/>
                    <w:szCs w:val="26"/>
                    <w:rtl/>
                  </w:rPr>
                  <w:t>דורות</w:t>
                </w:r>
              </w:sdtContent>
            </w:sdt>
            <w:r w:rsidR="00752081">
              <w:rPr>
                <w:b/>
                <w:bCs/>
                <w:sz w:val="26"/>
                <w:szCs w:val="26"/>
                <w:rtl/>
              </w:rPr>
              <w:t xml:space="preserve">, </w:t>
            </w:r>
            <w:sdt>
              <w:sdtPr>
                <w:rPr>
                  <w:rFonts w:ascii="David" w:hAnsi="David"/>
                  <w:b/>
                  <w:bCs/>
                  <w:rtl/>
                </w:rPr>
                <w:alias w:val="2143"/>
                <w:tag w:val="2143"/>
                <w:id w:val="825632644"/>
                <w:text w:multiLine="1"/>
              </w:sdtPr>
              <w:sdtEndPr/>
              <w:sdtContent>
                <w:r w:rsidR="00752081">
                  <w:rPr>
                    <w:rFonts w:ascii="David" w:hAnsi="David"/>
                    <w:b/>
                    <w:bCs/>
                    <w:sz w:val="26"/>
                    <w:szCs w:val="26"/>
                    <w:rtl/>
                  </w:rPr>
                  <w:t>שופט</w:t>
                </w:r>
                <w:r w:rsidR="00752081">
                  <w:rPr>
                    <w:rFonts w:ascii="David" w:hAnsi="David"/>
                    <w:b/>
                    <w:bCs/>
                    <w:sz w:val="26"/>
                    <w:szCs w:val="26"/>
                    <w:rtl/>
                  </w:rPr>
                  <w:br/>
                </w:r>
                <w:r w:rsidR="00752081">
                  <w:rPr>
                    <w:rFonts w:ascii="David" w:hAnsi="David"/>
                    <w:b/>
                    <w:bCs/>
                    <w:rtl/>
                  </w:rPr>
                  <w:t>יו"ר הועדה</w:t>
                </w:r>
              </w:sdtContent>
            </w:sdt>
          </w:p>
        </w:tc>
        <w:tc>
          <w:tcPr>
            <w:tcW w:w="2616" w:type="dxa"/>
            <w:tcBorders>
              <w:top w:val="single" w:sz="4" w:space="0" w:color="auto"/>
              <w:left w:val="nil"/>
              <w:bottom w:val="nil"/>
              <w:right w:val="nil"/>
            </w:tcBorders>
            <w:hideMark/>
          </w:tcPr>
          <w:p w:rsidR="00752081" w:rsidRDefault="00884894">
            <w:pPr>
              <w:jc w:val="center"/>
              <w:rPr>
                <w:b/>
                <w:bCs/>
                <w:sz w:val="26"/>
                <w:szCs w:val="26"/>
                <w:rtl/>
              </w:rPr>
            </w:pPr>
            <w:r>
              <w:rPr>
                <w:rFonts w:hint="cs"/>
                <w:b/>
                <w:bCs/>
                <w:sz w:val="26"/>
                <w:szCs w:val="26"/>
                <w:rtl/>
              </w:rPr>
              <w:t>נאוה סירקיס</w:t>
            </w:r>
            <w:r w:rsidR="00752081">
              <w:rPr>
                <w:b/>
                <w:bCs/>
                <w:sz w:val="26"/>
                <w:szCs w:val="26"/>
                <w:rtl/>
              </w:rPr>
              <w:t>,</w:t>
            </w:r>
          </w:p>
          <w:p w:rsidR="00752081" w:rsidRDefault="00752081">
            <w:pPr>
              <w:jc w:val="center"/>
              <w:rPr>
                <w:b/>
                <w:bCs/>
                <w:sz w:val="26"/>
                <w:szCs w:val="26"/>
              </w:rPr>
            </w:pPr>
            <w:r>
              <w:rPr>
                <w:b/>
                <w:bCs/>
                <w:sz w:val="26"/>
                <w:szCs w:val="26"/>
                <w:rtl/>
              </w:rPr>
              <w:t>חבר</w:t>
            </w:r>
            <w:r w:rsidR="00884894">
              <w:rPr>
                <w:rFonts w:hint="cs"/>
                <w:b/>
                <w:bCs/>
                <w:sz w:val="26"/>
                <w:szCs w:val="26"/>
                <w:rtl/>
              </w:rPr>
              <w:t>ת</w:t>
            </w:r>
            <w:r>
              <w:rPr>
                <w:b/>
                <w:bCs/>
                <w:sz w:val="26"/>
                <w:szCs w:val="26"/>
                <w:rtl/>
              </w:rPr>
              <w:t xml:space="preserve"> </w:t>
            </w:r>
            <w:r w:rsidR="00884894">
              <w:rPr>
                <w:rFonts w:hint="cs"/>
                <w:b/>
                <w:bCs/>
                <w:sz w:val="26"/>
                <w:szCs w:val="26"/>
                <w:rtl/>
              </w:rPr>
              <w:t>ו</w:t>
            </w:r>
            <w:r>
              <w:rPr>
                <w:b/>
                <w:bCs/>
                <w:sz w:val="26"/>
                <w:szCs w:val="26"/>
                <w:rtl/>
              </w:rPr>
              <w:t>ועדה</w:t>
            </w:r>
          </w:p>
        </w:tc>
        <w:tc>
          <w:tcPr>
            <w:tcW w:w="2616" w:type="dxa"/>
            <w:tcBorders>
              <w:top w:val="single" w:sz="4" w:space="0" w:color="auto"/>
              <w:left w:val="nil"/>
              <w:bottom w:val="nil"/>
              <w:right w:val="nil"/>
            </w:tcBorders>
            <w:hideMark/>
          </w:tcPr>
          <w:p w:rsidR="00752081" w:rsidRDefault="00752081">
            <w:pPr>
              <w:jc w:val="center"/>
              <w:rPr>
                <w:b/>
                <w:bCs/>
                <w:sz w:val="28"/>
                <w:szCs w:val="28"/>
                <w:rtl/>
              </w:rPr>
            </w:pPr>
            <w:r>
              <w:rPr>
                <w:b/>
                <w:bCs/>
                <w:sz w:val="28"/>
                <w:szCs w:val="28"/>
                <w:rtl/>
              </w:rPr>
              <w:t>גב' גבע בלטר,</w:t>
            </w:r>
          </w:p>
          <w:p w:rsidR="00752081" w:rsidRDefault="00752081">
            <w:pPr>
              <w:jc w:val="center"/>
              <w:rPr>
                <w:b/>
                <w:bCs/>
                <w:rtl/>
              </w:rPr>
            </w:pPr>
            <w:r>
              <w:rPr>
                <w:b/>
                <w:bCs/>
                <w:sz w:val="28"/>
                <w:szCs w:val="28"/>
                <w:rtl/>
              </w:rPr>
              <w:t>חברת וועדה</w:t>
            </w:r>
          </w:p>
        </w:tc>
      </w:tr>
    </w:tbl>
    <w:p w:rsidR="00752081" w:rsidRPr="00752081" w:rsidRDefault="00752081" w:rsidP="00752081">
      <w:pPr>
        <w:spacing w:after="160" w:line="360" w:lineRule="auto"/>
        <w:jc w:val="both"/>
        <w:rPr>
          <w:rFonts w:ascii="David" w:hAnsi="David"/>
        </w:rPr>
      </w:pPr>
    </w:p>
    <w:sectPr w:rsidR="00752081" w:rsidRPr="00752081" w:rsidSect="0090389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19C3" w:rsidRDefault="00DD19C3">
      <w:r>
        <w:separator/>
      </w:r>
    </w:p>
  </w:endnote>
  <w:endnote w:type="continuationSeparator" w:id="0">
    <w:p w:rsidR="00DD19C3" w:rsidRDefault="00DD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707" w:rsidRDefault="001A170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34511">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053F1">
      <w:rPr>
        <w:rStyle w:val="ab"/>
        <w:rFonts w:cs="Times New Roman"/>
        <w:rtl/>
      </w:rPr>
      <w:t>2</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053F1">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707" w:rsidRDefault="001A170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19C3" w:rsidRDefault="00DD19C3">
      <w:r>
        <w:separator/>
      </w:r>
    </w:p>
  </w:footnote>
  <w:footnote w:type="continuationSeparator" w:id="0">
    <w:p w:rsidR="00DD19C3" w:rsidRDefault="00DD1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707" w:rsidRDefault="001A170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220EE">
    <w:pPr>
      <w:pStyle w:val="a3"/>
      <w:jc w:val="center"/>
      <w:rPr>
        <w:rFonts w:cs="FrankRuehl"/>
        <w:noProof w:val="0"/>
        <w:sz w:val="28"/>
        <w:szCs w:val="28"/>
        <w:rtl/>
      </w:rPr>
    </w:pPr>
    <w:r>
      <w:rPr>
        <w:rFonts w:cs="FrankRuehl"/>
        <w:sz w:val="28"/>
        <w:szCs w:val="28"/>
      </w:rPr>
      <w:drawing>
        <wp:inline distT="0" distB="0" distL="0" distR="0" wp14:anchorId="36A1687E" wp14:editId="69328B2E">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694556" w:rsidTr="00752081">
      <w:trPr>
        <w:trHeight w:hRule="exact" w:val="709"/>
        <w:jc w:val="center"/>
      </w:trPr>
      <w:tc>
        <w:tcPr>
          <w:tcW w:w="8721" w:type="dxa"/>
          <w:gridSpan w:val="2"/>
        </w:tcPr>
        <w:p w:rsidR="00694556" w:rsidRDefault="00752081">
          <w:pPr>
            <w:pStyle w:val="a3"/>
            <w:jc w:val="center"/>
            <w:rPr>
              <w:rFonts w:ascii="Tahoma" w:hAnsi="Tahoma" w:cs="Tahoma"/>
              <w:noProof w:val="0"/>
              <w:color w:val="000080"/>
              <w:rtl/>
            </w:rPr>
          </w:pPr>
          <w:r>
            <w:rPr>
              <w:rFonts w:ascii="Tahoma" w:hAnsi="Tahoma" w:cs="Tahoma" w:hint="cs"/>
              <w:b/>
              <w:bCs/>
              <w:noProof w:val="0"/>
              <w:color w:val="000080"/>
              <w:rtl/>
            </w:rPr>
            <w:t>בפני ועדת ערר לעניין חוק מיסוי מקרקעין (שבח ורכישה) שליד 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596214092"/>
          <w:text/>
        </w:sdtPr>
        <w:sdtEndPr/>
        <w:sdtContent>
          <w:tc>
            <w:tcPr>
              <w:tcW w:w="3674" w:type="dxa"/>
            </w:tcPr>
            <w:p w:rsidR="00694556" w:rsidRDefault="0086087C" w:rsidP="0086087C">
              <w:pPr>
                <w:pStyle w:val="a3"/>
                <w:jc w:val="right"/>
                <w:rPr>
                  <w:b/>
                  <w:bCs/>
                  <w:noProof w:val="0"/>
                  <w:sz w:val="26"/>
                  <w:szCs w:val="26"/>
                  <w:rtl/>
                </w:rPr>
              </w:pPr>
              <w:r>
                <w:rPr>
                  <w:rFonts w:hint="cs"/>
                  <w:b/>
                  <w:bCs/>
                  <w:noProof w:val="0"/>
                  <w:sz w:val="26"/>
                  <w:szCs w:val="26"/>
                  <w:rtl/>
                </w:rPr>
                <w:t>21 אוגוסט 2023</w:t>
              </w:r>
            </w:p>
          </w:tc>
        </w:sdtContent>
      </w:sdt>
    </w:tr>
    <w:tr w:rsidR="00694556">
      <w:trPr>
        <w:trHeight w:val="337"/>
        <w:jc w:val="center"/>
      </w:trPr>
      <w:tc>
        <w:tcPr>
          <w:tcW w:w="8721" w:type="dxa"/>
          <w:gridSpan w:val="2"/>
        </w:tcPr>
        <w:p w:rsidR="002679D4" w:rsidRPr="00C767A6" w:rsidRDefault="00DD19C3" w:rsidP="00C767A6">
          <w:pPr>
            <w:rPr>
              <w:b/>
              <w:bCs/>
              <w:noProof w:val="0"/>
              <w:sz w:val="26"/>
              <w:szCs w:val="26"/>
              <w:rtl/>
            </w:rPr>
          </w:pPr>
          <w:sdt>
            <w:sdtPr>
              <w:rPr>
                <w:rtl/>
              </w:rPr>
              <w:alias w:val="1170"/>
              <w:tag w:val="1170"/>
              <w:id w:val="-1719432657"/>
              <w:text w:multiLine="1"/>
            </w:sdtPr>
            <w:sdtEndPr/>
            <w:sdtContent>
              <w:r w:rsidR="00D06F79">
                <w:rPr>
                  <w:b/>
                  <w:bCs/>
                  <w:noProof w:val="0"/>
                  <w:sz w:val="26"/>
                  <w:szCs w:val="26"/>
                  <w:rtl/>
                </w:rPr>
                <w:t>ו"ע</w:t>
              </w:r>
            </w:sdtContent>
          </w:sdt>
          <w:r w:rsidR="00005C8B">
            <w:rPr>
              <w:b/>
              <w:bCs/>
              <w:noProof w:val="0"/>
              <w:sz w:val="26"/>
              <w:szCs w:val="26"/>
              <w:rtl/>
            </w:rPr>
            <w:t xml:space="preserve"> </w:t>
          </w:r>
          <w:sdt>
            <w:sdtPr>
              <w:rPr>
                <w:rtl/>
              </w:rPr>
              <w:alias w:val="1171"/>
              <w:tag w:val="1171"/>
              <w:id w:val="-2144187032"/>
              <w:text w:multiLine="1"/>
            </w:sdtPr>
            <w:sdtEndPr/>
            <w:sdtContent>
              <w:r w:rsidR="00D06F79">
                <w:rPr>
                  <w:b/>
                  <w:bCs/>
                  <w:noProof w:val="0"/>
                  <w:sz w:val="26"/>
                  <w:szCs w:val="26"/>
                  <w:rtl/>
                </w:rPr>
                <w:t>28149-09-20</w:t>
              </w:r>
            </w:sdtContent>
          </w:sdt>
          <w:r w:rsidR="00005C8B">
            <w:rPr>
              <w:b/>
              <w:bCs/>
              <w:noProof w:val="0"/>
              <w:sz w:val="26"/>
              <w:szCs w:val="26"/>
              <w:rtl/>
            </w:rPr>
            <w:t xml:space="preserve"> </w:t>
          </w:r>
          <w:sdt>
            <w:sdtPr>
              <w:rPr>
                <w:rtl/>
              </w:rPr>
              <w:alias w:val="1172"/>
              <w:tag w:val="1172"/>
              <w:id w:val="-396353733"/>
              <w:text w:multiLine="1"/>
            </w:sdtPr>
            <w:sdtEndPr/>
            <w:sdtContent>
              <w:r w:rsidR="00D06F79">
                <w:rPr>
                  <w:b/>
                  <w:bCs/>
                  <w:noProof w:val="0"/>
                  <w:sz w:val="26"/>
                  <w:szCs w:val="26"/>
                  <w:rtl/>
                </w:rPr>
                <w:t>אזרחי נ' מס שבח ירושלים</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707" w:rsidRDefault="001A170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534F8"/>
    <w:multiLevelType w:val="hybridMultilevel"/>
    <w:tmpl w:val="ED2445B4"/>
    <w:lvl w:ilvl="0" w:tplc="1128AF5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4DF43FDA"/>
    <w:multiLevelType w:val="hybridMultilevel"/>
    <w:tmpl w:val="E96EDB8C"/>
    <w:lvl w:ilvl="0" w:tplc="2B92DD8E">
      <w:start w:val="1"/>
      <w:numFmt w:val="decimal"/>
      <w:lvlText w:val="%1."/>
      <w:lvlJc w:val="left"/>
      <w:pPr>
        <w:ind w:left="861" w:hanging="720"/>
      </w:pPr>
      <w:rPr>
        <w:rFonts w:ascii="David" w:hAnsi="David" w:cs="David"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530777E4"/>
    <w:multiLevelType w:val="hybridMultilevel"/>
    <w:tmpl w:val="972056B6"/>
    <w:lvl w:ilvl="0" w:tplc="B590FC56">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71158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711588&amp;lt;/CaseID&amp;gt;_x000d__x000a_        &amp;lt;CaseMonth&amp;gt;9&amp;lt;/CaseMonth&amp;gt;_x000d__x000a_        &amp;lt;CaseYear&amp;gt;2020&amp;lt;/CaseYear&amp;gt;_x000d__x000a_        &amp;lt;CaseNumber&amp;gt;28149&amp;lt;/CaseNumber&amp;gt;_x000d__x000a_        &amp;lt;NumeratorGroupID&amp;gt;1&amp;lt;/NumeratorGroupID&amp;gt;_x000d__x000a_        &amp;lt;CaseName&amp;gt;אזרחי נ&amp;#39; מס שבח ירושלים&amp;lt;/CaseName&amp;gt;_x000d__x000a_        &amp;lt;CourtID&amp;gt;14&amp;lt;/CourtID&amp;gt;_x000d__x000a_        &amp;lt;CaseTypeID&amp;gt;14&amp;lt;/CaseTypeID&amp;gt;_x000d__x000a_        &amp;lt;CaseInterestID&amp;gt;28&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28149-09-20&amp;lt;/CaseDisplayIdentifier&amp;gt;_x000d__x000a_        &amp;lt;CaseTypeDesc&amp;gt;ו&amp;quot;ע&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9-13T07:00:00+03:00&amp;lt;/CaseOpenDate&amp;gt;_x000d__x000a_        &amp;lt;PleaTypeID&amp;gt;18&amp;lt;/PleaTypeID&amp;gt;_x000d__x000a_        &amp;lt;CourtLevelID&amp;gt;2&amp;lt;/CourtLevelID&amp;gt;_x000d__x000a_        &amp;lt;CourtLevelCaseTypeInterestID&amp;gt;1151&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ארו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711588&amp;lt;/CaseID&amp;gt;_x000d__x000a_        &amp;lt;CaseMonth&amp;gt;9&amp;lt;/CaseMonth&amp;gt;_x000d__x000a_        &amp;lt;CaseYear&amp;gt;2020&amp;lt;/CaseYear&amp;gt;_x000d__x000a_        &amp;lt;CaseNumber&amp;gt;28149&amp;lt;/CaseNumber&amp;gt;_x000d__x000a_        &amp;lt;NumeratorGroupID&amp;gt;1&amp;lt;/NumeratorGroupID&amp;gt;_x000d__x000a_        &amp;lt;CaseName&amp;gt;אזרחי נ&amp;#39; מס שבח ירושלים&amp;lt;/CaseName&amp;gt;_x000d__x000a_        &amp;lt;CourtID&amp;gt;14&amp;lt;/CourtID&amp;gt;_x000d__x000a_        &amp;lt;CaseTypeID&amp;gt;14&amp;lt;/CaseTypeID&amp;gt;_x000d__x000a_        &amp;lt;CaseInterestID&amp;gt;28&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28149-09-20&amp;lt;/CaseDisplayIdentifier&amp;gt;_x000d__x000a_        &amp;lt;CaseTypeDesc&amp;gt;ו&amp;quot;ע&amp;lt;/CaseTypeDesc&amp;gt;_x000d__x000a_        &amp;lt;CourtDesc&amp;gt;המחוזי ירושלים&amp;lt;/CourtDesc&amp;gt;_x000d__x000a_        &amp;lt;CaseStageDesc&amp;gt;תיק אלקטרוני&amp;lt;/CaseStageDesc&amp;gt;_x000d__x000a_        &amp;lt;CaseNextDeterminingTask&amp;gt;34&amp;lt;/CaseNextDeterminingTask&amp;gt;_x000d__x000a_        &amp;lt;CaseOpenDate&amp;gt;2020-09-13T07:00:00+03:00&amp;lt;/CaseOpenDate&amp;gt;_x000d__x000a_        &amp;lt;PleaTypeID&amp;gt;18&amp;lt;/PleaTypeID&amp;gt;_x000d__x000a_        &amp;lt;CourtLevelID&amp;gt;2&amp;lt;/CourtLevelID&amp;gt;_x000d__x000a_        &amp;lt;CourtLevelCaseTypeInterestID&amp;gt;1151&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אר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699622&amp;lt;/DecisionID&amp;gt;_x000d__x000a_        &amp;lt;DecisionName&amp;gt;החלטה  שניתנה ע&amp;quot;י  אביגדור דורות&amp;lt;/DecisionName&amp;gt;_x000d__x000a_        &amp;lt;DecisionStatusID&amp;gt;1&amp;lt;/DecisionStatusID&amp;gt;_x000d__x000a_        &amp;lt;DecisionStatusChangeDate&amp;gt;2023-08-20T11:55:13.617+03:00&amp;lt;/DecisionStatusChangeDate&amp;gt;_x000d__x000a_        &amp;lt;DecisionSignatureDate&amp;gt;2023-08-14T12:13:53.487+03:00&amp;lt;/DecisionSignatureDate&amp;gt;_x000d__x000a_        &amp;lt;DecisionSignatureUserID&amp;gt;055121115@GOV.IL&amp;lt;/DecisionSignatureUserID&amp;gt;_x000d__x000a_        &amp;lt;DecisionCreateDate&amp;gt;2023-08-14T12:14:50.8+03:00&amp;lt;/DecisionCreateDate&amp;gt;_x000d__x000a_        &amp;lt;DecisionChangeDate&amp;gt;2023-08-20T11:55:13.63+03:00&amp;lt;/DecisionChangeDate&amp;gt;_x000d__x000a_        &amp;lt;DecisionChangeUserID&amp;gt;31490912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19326827&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9353333@GOV.IL&amp;lt;/DecisionCreationUserID&amp;gt;_x000d__x000a_        &amp;lt;DecisionDisplayName&amp;gt;החלטה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46699622&amp;lt;/DecisionID&amp;gt;_x000d__x000a_        &amp;lt;CaseID&amp;gt;77711588&amp;lt;/CaseID&amp;gt;_x000d__x000a_        &amp;lt;IsOriginal&amp;gt;true&amp;lt;/IsOriginal&amp;gt;_x000d__x000a_        &amp;lt;IsDeleted&amp;gt;false&amp;lt;/IsDeleted&amp;gt;_x000d__x000a_        &amp;lt;CaseName&amp;gt;אזרחי נ&amp;#39; מס שבח ירושלים&amp;lt;/CaseName&amp;gt;_x000d__x000a_        &amp;lt;CaseDisplayIdentifier&amp;gt;28149-09-20 ו&amp;quot;ע&amp;lt;/CaseDisplayIdentifier&amp;gt;_x000d__x000a_      &amp;lt;/dt_DecisionCase&amp;gt;_x000d__x000a_    &amp;lt;/DecisionDS&amp;gt;_x000d__x000a_  &amp;lt;/diffgr:diffgram&amp;gt;_x000d__x000a_&amp;lt;/DecisionDS&amp;gt;"/>
    <w:docVar w:name="DecisionID" w:val="146699622"/>
    <w:docVar w:name="WordClientAssemblyName" w:val="NGCS.Decision.ClientWordBL"/>
    <w:docVar w:name="WordClientClassName" w:val="NGCS.Decision.ClientWordBL.DecisionClient"/>
  </w:docVars>
  <w:rsids>
    <w:rsidRoot w:val="00694556"/>
    <w:rsid w:val="00005C8B"/>
    <w:rsid w:val="000564AB"/>
    <w:rsid w:val="00063E90"/>
    <w:rsid w:val="00064FBD"/>
    <w:rsid w:val="00091573"/>
    <w:rsid w:val="00096AF7"/>
    <w:rsid w:val="000C3B0F"/>
    <w:rsid w:val="000F0BC8"/>
    <w:rsid w:val="00101709"/>
    <w:rsid w:val="00107E6D"/>
    <w:rsid w:val="00144D2A"/>
    <w:rsid w:val="00180519"/>
    <w:rsid w:val="001A1707"/>
    <w:rsid w:val="001B3D05"/>
    <w:rsid w:val="001C4003"/>
    <w:rsid w:val="001C4BEB"/>
    <w:rsid w:val="00211490"/>
    <w:rsid w:val="00217832"/>
    <w:rsid w:val="00224BF2"/>
    <w:rsid w:val="002265FF"/>
    <w:rsid w:val="002679D4"/>
    <w:rsid w:val="00320433"/>
    <w:rsid w:val="003509A0"/>
    <w:rsid w:val="0036743F"/>
    <w:rsid w:val="003D1D52"/>
    <w:rsid w:val="0043125D"/>
    <w:rsid w:val="0043502B"/>
    <w:rsid w:val="004A5244"/>
    <w:rsid w:val="004C303E"/>
    <w:rsid w:val="004C4BDF"/>
    <w:rsid w:val="004C55C7"/>
    <w:rsid w:val="004E4D82"/>
    <w:rsid w:val="004E5C6D"/>
    <w:rsid w:val="004E6E3C"/>
    <w:rsid w:val="004F6337"/>
    <w:rsid w:val="005268F6"/>
    <w:rsid w:val="0053372C"/>
    <w:rsid w:val="00540442"/>
    <w:rsid w:val="00547DB7"/>
    <w:rsid w:val="005759AD"/>
    <w:rsid w:val="00575AB0"/>
    <w:rsid w:val="005B3920"/>
    <w:rsid w:val="005E6591"/>
    <w:rsid w:val="006053F1"/>
    <w:rsid w:val="006220EE"/>
    <w:rsid w:val="00622BAA"/>
    <w:rsid w:val="00671BD5"/>
    <w:rsid w:val="006805C1"/>
    <w:rsid w:val="00694556"/>
    <w:rsid w:val="006E1A53"/>
    <w:rsid w:val="006E7546"/>
    <w:rsid w:val="00752081"/>
    <w:rsid w:val="00786287"/>
    <w:rsid w:val="007B7FE8"/>
    <w:rsid w:val="007E6115"/>
    <w:rsid w:val="007E74FF"/>
    <w:rsid w:val="007F6486"/>
    <w:rsid w:val="00820005"/>
    <w:rsid w:val="0086087C"/>
    <w:rsid w:val="00884894"/>
    <w:rsid w:val="00885039"/>
    <w:rsid w:val="00896889"/>
    <w:rsid w:val="008C5714"/>
    <w:rsid w:val="008E6D86"/>
    <w:rsid w:val="00903896"/>
    <w:rsid w:val="00906F3D"/>
    <w:rsid w:val="00921214"/>
    <w:rsid w:val="0093383D"/>
    <w:rsid w:val="00942802"/>
    <w:rsid w:val="00A32047"/>
    <w:rsid w:val="00A37C92"/>
    <w:rsid w:val="00A72778"/>
    <w:rsid w:val="00A94B64"/>
    <w:rsid w:val="00AC5209"/>
    <w:rsid w:val="00AD4290"/>
    <w:rsid w:val="00B30376"/>
    <w:rsid w:val="00B34511"/>
    <w:rsid w:val="00B80CBD"/>
    <w:rsid w:val="00B86096"/>
    <w:rsid w:val="00BD5614"/>
    <w:rsid w:val="00BF1908"/>
    <w:rsid w:val="00C22D93"/>
    <w:rsid w:val="00C34482"/>
    <w:rsid w:val="00C63D4D"/>
    <w:rsid w:val="00C63E89"/>
    <w:rsid w:val="00C73CCF"/>
    <w:rsid w:val="00C767A6"/>
    <w:rsid w:val="00C803FF"/>
    <w:rsid w:val="00CE49D8"/>
    <w:rsid w:val="00D06F79"/>
    <w:rsid w:val="00D23899"/>
    <w:rsid w:val="00D33B86"/>
    <w:rsid w:val="00D53924"/>
    <w:rsid w:val="00D5623A"/>
    <w:rsid w:val="00D66743"/>
    <w:rsid w:val="00D96D8C"/>
    <w:rsid w:val="00DA6649"/>
    <w:rsid w:val="00DA7F2D"/>
    <w:rsid w:val="00DD19C3"/>
    <w:rsid w:val="00E54642"/>
    <w:rsid w:val="00EA08BF"/>
    <w:rsid w:val="00EC37E9"/>
    <w:rsid w:val="00F06137"/>
    <w:rsid w:val="00F60705"/>
    <w:rsid w:val="00F84B6D"/>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5F935F2-B058-4E1A-A6DC-16C019372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06F79"/>
    <w:rPr>
      <w:color w:val="808080"/>
    </w:rPr>
  </w:style>
  <w:style w:type="paragraph" w:styleId="ad">
    <w:name w:val="List Paragraph"/>
    <w:basedOn w:val="a"/>
    <w:uiPriority w:val="34"/>
    <w:qFormat/>
    <w:rsid w:val="00BD5614"/>
    <w:pPr>
      <w:ind w:left="720"/>
      <w:contextualSpacing/>
    </w:pPr>
  </w:style>
  <w:style w:type="paragraph" w:customStyle="1" w:styleId="listparagraph">
    <w:name w:val="listparagraph"/>
    <w:basedOn w:val="a"/>
    <w:rsid w:val="00BD5614"/>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BD56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78844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1838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77711588</CaseID>
    <CaseJudicialPersonPresentationDS>
      <CaseJudicalPersonActive>
        <CaseID>77711588</CaseID>
        <JudicialPersonID>055121115@GOV.IL</JudicialPersonID>
        <JudicialPersonTypeID>1</JudicialPersonTypeID>
        <JudicialTypeID>1</JudicialTypeID>
        <IsChairman>false</IsChairman>
        <TreatmentStartDate>2020-09-15T09:36:58.81+03:00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מסייע</PartyTypeName>
        <ProceedingType>כתב טענות עיקרי</ProceedingType>
        <PleaName>כתב ערר</PleaName>
        <PartyBelonging> - </PartyBelonging>
        <RoleName>נציג ציבור - ועדות ערר</RoleName>
        <IsSubProceeding>FALSE</IsSubProceeding>
        <FullName>גבע בלטר</FullName>
        <FirstName>גבע</FirstName>
        <LastName>בלטר</LastName>
        <PartyPropertyName/>
        <AuthenticationTypeAndNumber>חבר ועדה 273</AuthenticationTypeAndNumber>
        <RepresentatedOrRepresentativesNames/>
        <RepresentatedOrRepresentativesCount>0</RepresentatedOrRepresentativesCount>
        <InvitedBy/>
        <CaseID>77711588</CaseID>
        <CaseJudicialPersonPresentationDS>
          <CaseJudicalPersonActive>
            <CaseID>77711588</CaseID>
            <JudicialPersonID>055121115@GOV.IL</JudicialPersonID>
            <JudicialPersonTypeID>1</JudicialPersonTypeID>
            <JudicialTypeID>1</JudicialTypeID>
            <IsChairman>false</IsChairman>
            <TreatmentStartDate>2020-09-15T09:36:58.81+03:00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233919551</CasePartyID>
        <PartyTypeID>3</PartyTypeID>
        <ActivityStatusID>1</ActivityStatusID>
        <LegalEntityID>79441557</LegalEntityID>
        <CaseLegalEntityID>117629910</CaseLegalEntityID>
        <AssistantRoleID>112</AssistantRoleID>
        <AuthenticationTypeID>39</AuthenticationTypeID>
        <AuthenticationTypeName>חבר ועדה</AuthenticationTypeName>
        <LegalEntityNumber>273</LegalEntityNumber>
        <IsMainPartyType>true</IsMainPartyType>
        <CaseDisplayIdentifier>28149-09-20</CaseDisplayIdentifier>
        <CaseTypeID>14</CaseTypeID>
        <CaseTypeName>ועדת ערר (ו"ע)</CaseTypeName>
        <CaseName>אזרחי נ' מס שבח ירושלים</CaseName>
        <FullAddress>. תל אביב -יפו </FullAddress>
        <EmailAddress>geva@gbalter.com</EmailAddress>
        <MotionID>0</MotionID>
        <CasePleaID>0</CasePleaID>
        <BirthDate>1955-01-01T00:00:00+02:00</BirthDate>
        <FatherName>ויקטור חיים</FatherName>
        <LinkedCaseID>0</LinkedCaseID>
        <PartyID>1</PartyID>
        <CasePartyCategoryID>2</CasePartyCategoryID>
        <LegalEntityAddressID>84671503</LegalEntityAddressID>
        <LegalEntityEmailAddressID>68097776</LegalEntityEmailAddressID>
        <PleaTypeID>18</PleaTypeID>
        <GroupPartyAlias/>
        <IsConverted>false</IsConverted>
        <LegalEntityNameID>90678448</LegalEntityNameID>
        <RepresentatedNamesOfAssistant/>
        <LegalEntityTypeID>10</LegalEntityTypeID>
        <IsVerdictExists>false</IsVerdictExists>
        <IsAsirAzir>false</IsAsirAzir>
        <IsPublicationProhibited>false</IsPublicationProhibited>
        <PublicationProhibitedFullName>גבע בלטר</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כוכבית נצח</FullName>
        <FirstName>כוכבית</FirstName>
        <LastName>נצח</LastName>
        <PartyPropertyName/>
        <AuthenticationTypeAndNumber>מ.ר. 16651</AuthenticationTypeAndNumber>
        <RepresentatedOrRepresentativesNames xml:space="preserve"> </RepresentatedOrRepresentativesNames>
        <RepresentatedOrRepresentativesCount>1</RepresentatedOrRepresentativesCount>
        <InvitedBy/>
        <CaseID>77711588</CaseID>
        <CaseJudicialPersonPresentationDS>
          <CaseJudicalPersonActive>
            <CaseID>77711588</CaseID>
            <JudicialPersonID>055121115@GOV.IL</JudicialPersonID>
            <JudicialPersonTypeID>1</JudicialPersonTypeID>
            <JudicialTypeID>1</JudicialTypeID>
            <IsChairman>false</IsChairman>
            <TreatmentStartDate>2020-09-15T09:36:58.81+03:00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216570213</CasePartyID>
        <PartyTypeID>2</PartyTypeID>
        <ActivityStatusID>1</ActivityStatusID>
        <PartyAliasID>23</PartyAliasID>
        <PartyAliasName>בא כוח משיבים</PartyAliasName>
        <LegalEntityID>397179</LegalEntityID>
        <CaseLegalEntityID>112416299</CaseLegalEntityID>
        <AuthenticationTypeID>4</AuthenticationTypeID>
        <AuthenticationTypeName>מ.ר.</AuthenticationTypeName>
        <LegalEntityNumber>16651</LegalEntityNumber>
        <IsMainPartyType>true</IsMainPartyType>
        <CaseDisplayIdentifier>28149-09-20</CaseDisplayIdentifier>
        <CaseTypeID>14</CaseTypeID>
        <CaseTypeName>ועדת ערר (ו"ע)</CaseTypeName>
        <CaseName>אזרחי נ' מס שבח ירושלים</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18</PleaTypeID>
        <LawyerOfficeName>פרקליטות מחוז ירושלים - אזרחי</LawyerOfficeName>
        <LawyerOfficeID>12740882</LawyerOfficeID>
        <GroupPartyAlias/>
        <IsConverted>false</IsConverted>
        <LegalEntityNameID>18163</LegalEntityNameID>
        <RepresentatedNamesOfAssistant/>
        <LegalEntityTypeID>4</LegalEntityTypeID>
        <IsVerdictExists>false</IsVerdictExists>
        <IsAsirAzir>false</IsAsirAzir>
        <IsPublicationProhibited>false</IsPublicationProhibited>
        <PublicationProhibitedFullName>כוכבית נצח</PublicationProhibitedFullName>
      </CaseParties>
      <CaseParties>
        <PartyTypeName>מסייע</PartyTypeName>
        <ProceedingType>כתב טענות עיקרי</ProceedingType>
        <PleaName>כתב ערר</PleaName>
        <PartyBelonging> - </PartyBelonging>
        <RoleName>נציג ציבור - ועדות ערר</RoleName>
        <IsSubProceeding>FALSE</IsSubProceeding>
        <FullName>נאוה סירקיס</FullName>
        <FirstName>נאוה רבקה</FirstName>
        <LastName>סירקיס</LastName>
        <PartyPropertyName/>
        <AuthenticationTypeAndNumber>ת"ז 051024479</AuthenticationTypeAndNumber>
        <RepresentatedOrRepresentativesNames/>
        <RepresentatedOrRepresentativesCount>0</RepresentatedOrRepresentativesCount>
        <InvitedBy/>
        <CaseID>77711588</CaseID>
        <CaseJudicialPersonPresentationDS>
          <CaseJudicalPersonActive>
            <CaseID>77711588</CaseID>
            <JudicialPersonID>055121115@GOV.IL</JudicialPersonID>
            <JudicialPersonTypeID>1</JudicialPersonTypeID>
            <JudicialTypeID>1</JudicialTypeID>
            <IsChairman>false</IsChairman>
            <TreatmentStartDate>2020-09-15T09:36:58.81+03:00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233950807</CasePartyID>
        <PartyTypeID>3</PartyTypeID>
        <ActivityStatusID>1</ActivityStatusID>
        <OrdinalNumber>1</OrdinalNumber>
        <LegalEntityID>46284734</LegalEntityID>
        <CaseLegalEntityID>117642094</CaseLegalEntityID>
        <AssistantRoleID>112</AssistantRoleID>
        <AuthenticationTypeID>1</AuthenticationTypeID>
        <AuthenticationTypeName>ת"ז</AuthenticationTypeName>
        <LegalEntityNumber>051024479</LegalEntityNumber>
        <IsMainPartyType>true</IsMainPartyType>
        <CaseDisplayIdentifier>28149-09-20</CaseDisplayIdentifier>
        <CaseTypeID>14</CaseTypeID>
        <CaseTypeName>ועדת ערר (ו"ע)</CaseTypeName>
        <CaseName>אזרחי נ' מס שבח ירושלים</CaseName>
        <FullAddress>.</FullAddress>
        <EmailAddress>navasir@bezeqint.net</EmailAddress>
        <MotionID>0</MotionID>
        <CasePleaID>0</CasePleaID>
        <FatherName>ישראל</FatherName>
        <LinkedCaseID>0</LinkedCaseID>
        <PartyID>1</PartyID>
        <CasePartyCategoryID>2</CasePartyCategoryID>
        <LegalEntityAddressID>85872345</LegalEntityAddressID>
        <LegalEntityEmailAddressID>68151694</LegalEntityEmailAddressID>
        <PleaTypeID>18</PleaTypeID>
        <GroupPartyAlias/>
        <IsConverted>false</IsConverted>
        <LegalEntityRegisteredNameID>9601571</LegalEntityRegisteredNameID>
        <LegalEntityNameID>92293382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נאוה סירקיס</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יצחק אזרחי</FullName>
        <FirstName>יצחק</FirstName>
        <LastName>אזרחי</LastName>
        <PartyPropertyName/>
        <AuthenticationTypeAndNumber>ת"ז 039683974</AuthenticationTypeAndNumber>
        <RepresentatedOrRepresentativesNames>חגי גרוס</RepresentatedOrRepresentativesNames>
        <RepresentatedOrRepresentativesCount>1</RepresentatedOrRepresentativesCount>
        <InvitedBy/>
        <CaseID>77711588</CaseID>
        <CaseJudicialPersonPresentationDS>
          <CaseJudicalPersonActive>
            <CaseID>77711588</CaseID>
            <JudicialPersonID>055121115@GOV.IL</JudicialPersonID>
            <JudicialPersonTypeID>1</JudicialPersonTypeID>
            <JudicialTypeID>1</JudicialTypeID>
            <IsChairman>false</IsChairman>
            <TreatmentStartDate>2020-09-15T09:36:58.81+03:00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216318692</CasePartyID>
        <PartyTypeID>1</PartyTypeID>
        <ActivityStatusID>1</ActivityStatusID>
        <PartyAliasID>16</PartyAliasID>
        <PartyAliasName>עורר</PartyAliasName>
        <OrdinalNumber>1</OrdinalNumber>
        <LegalEntityID>16623476</LegalEntityID>
        <CaseLegalEntityID>112344734</CaseLegalEntityID>
        <AuthenticationTypeID>1</AuthenticationTypeID>
        <AuthenticationTypeName>ת"ז</AuthenticationTypeName>
        <LegalEntityNumber>039683974</LegalEntityNumber>
        <IsMainPartyType>true</IsMainPartyType>
        <CaseDisplayIdentifier>28149-09-20</CaseDisplayIdentifier>
        <CaseTypeID>14</CaseTypeID>
        <CaseTypeName>ועדת ערר (ו"ע)</CaseTypeName>
        <CaseName>אזרחי נ' מס שבח ירושלים</CaseName>
        <FullAddress/>
        <MotionID>0</MotionID>
        <CasePleaID>0</CasePleaID>
        <FatherName>בן ציון</FatherName>
        <LinkedCaseID>0</LinkedCaseID>
        <PartyID>1</PartyID>
        <CasePartyCategoryID>2</CasePartyCategoryID>
        <PleaTypeID>18</PleaTypeID>
        <GroupPartyAlias>עוררים</GroupPartyAlias>
        <IsConverted>false</IsConverted>
        <LegalEntityRegisteredNameID>4324377</LegalEntityRegisteredNameID>
        <LegalEntityNameID>90193994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אזרחי</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חגי גרוס</FullName>
        <FirstName>חגי</FirstName>
        <LastName>גרוס</LastName>
        <PartyPropertyName/>
        <AuthenticationTypeAndNumber>מ.ר. 67151</AuthenticationTypeAndNumber>
        <RepresentatedOrRepresentativesNames>יצחק אזרחי</RepresentatedOrRepresentativesNames>
        <RepresentatedOrRepresentativesCount>1</RepresentatedOrRepresentativesCount>
        <InvitedBy/>
        <CaseID>77711588</CaseID>
        <CaseJudicialPersonPresentationDS>
          <CaseJudicalPersonActive>
            <CaseID>77711588</CaseID>
            <JudicialPersonID>055121115@GOV.IL</JudicialPersonID>
            <JudicialPersonTypeID>1</JudicialPersonTypeID>
            <JudicialTypeID>1</JudicialTypeID>
            <IsChairman>false</IsChairman>
            <TreatmentStartDate>2020-09-15T09:36:58.81+03:00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216318693</CasePartyID>
        <PartyTypeID>2</PartyTypeID>
        <ActivityStatusID>1</ActivityStatusID>
        <PartyAliasID>35</PartyAliasID>
        <PartyAliasName>בא כוח עוררים</PartyAliasName>
        <OrdinalNumber>1</OrdinalNumber>
        <LegalEntityID>75834320</LegalEntityID>
        <CaseLegalEntityID>112344735</CaseLegalEntityID>
        <AuthenticationTypeID>4</AuthenticationTypeID>
        <AuthenticationTypeName>מ.ר.</AuthenticationTypeName>
        <LegalEntityNumber>67151</LegalEntityNumber>
        <IsMainPartyType>true</IsMainPartyType>
        <CaseDisplayIdentifier>28149-09-20</CaseDisplayIdentifier>
        <CaseTypeID>14</CaseTypeID>
        <CaseTypeName>ועדת ערר (ו"ע)</CaseTypeName>
        <CaseName>אזרחי נ' מס שבח ירושלים</CaseName>
        <FullAddress/>
        <MotionID>0</MotionID>
        <CasePleaID>0</CasePleaID>
        <LinkedCaseID>0</LinkedCaseID>
        <PartyID>1</PartyID>
        <CasePartyCategoryID>2</CasePartyCategoryID>
        <PleaTypeID>18</PleaTypeID>
        <LawyerOfficeName>משרד עו"ד חגי גרוס</LawyerOfficeName>
        <LawyerOfficeID>75834321</LawyerOfficeID>
        <GroupPartyAlias/>
        <IsConverted>false</IsConverted>
        <LegalEntityNameID>82735655</LegalEntityNameID>
        <RepresentatedNamesOfAssistant/>
        <LegalEntityTypeID>4</LegalEntityTypeID>
        <IsVerdictExists>false</IsVerdictExists>
        <IsAsirAzir>false</IsAsirAzir>
        <IsPublicationProhibited>false</IsPublicationProhibited>
        <PublicationProhibitedFullName>חגי גרוס</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מס שבח ירושלים</FullName>
        <LastName>מס שבח ירושלים</LastName>
        <PartyPropertyName/>
        <AuthenticationTypeAndNumber>גופים על פי דין 513436312</AuthenticationTypeAndNumber>
        <RepresentatedOrRepresentativesNames>כוכבית נצח</RepresentatedOrRepresentativesNames>
        <RepresentatedOrRepresentativesCount>1</RepresentatedOrRepresentativesCount>
        <InvitedBy/>
        <CaseID>77711588</CaseID>
        <CaseJudicialPersonPresentationDS>
          <CaseJudicalPersonActive>
            <CaseID>77711588</CaseID>
            <JudicialPersonID>055121115@GOV.IL</JudicialPersonID>
            <JudicialPersonTypeID>1</JudicialPersonTypeID>
            <JudicialTypeID>1</JudicialTypeID>
            <IsChairman>false</IsChairman>
            <TreatmentStartDate>2020-09-15T09:36:58.81+03:00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216318695</CasePartyID>
        <PartyTypeID>1</PartyTypeID>
        <ActivityStatusID>1</ActivityStatusID>
        <PartyAliasID>4</PartyAliasID>
        <PartyAliasName>משיב</PartyAliasName>
        <OrdinalNumber>1</OrdinalNumber>
        <LegalEntityID>15868161</LegalEntityID>
        <CaseLegalEntityID>112344736</CaseLegalEntityID>
        <AuthenticationTypeID>17</AuthenticationTypeID>
        <AuthenticationTypeName>גופים על פי דין</AuthenticationTypeName>
        <LegalEntityNumber>513436312</LegalEntityNumber>
        <IsMainPartyType>true</IsMainPartyType>
        <CaseDisplayIdentifier>28149-09-20</CaseDisplayIdentifier>
        <CaseTypeID>14</CaseTypeID>
        <CaseTypeName>ועדת ערר (ו"ע)</CaseTypeName>
        <CaseName>אזרחי נ' מס שבח ירושלים</CaseName>
        <FullAddress>כנפי נשרים 66 ירושלים סניף גבעת שאול</FullAddress>
        <MotionID>0</MotionID>
        <CasePleaID>0</CasePleaID>
        <LinkedCaseID>0</LinkedCaseID>
        <PartyID>2</PartyID>
        <CasePartyCategoryID>2</CasePartyCategoryID>
        <LegalEntityAddressID>16132217</LegalEntityAddressID>
        <PleaTypeID>18</PleaTypeID>
        <GroupPartyAlias>משיבים</GroupPartyAlias>
        <IsConverted>false</IsConverted>
        <LegalEntityRegisteredNameID>1722105</LegalEntityRegisteredNameID>
        <RepresentatedNamesOfAssistant/>
        <LegalEntityTypeID>3</LegalEntityTypeID>
        <IsVerdictExists>false</IsVerdictExists>
        <IsAsirAzir>false</IsAsirAzir>
        <IsPublicationProhibited>false</IsPublicationProhibited>
        <PublicationProhibitedFullName>מס שבח ירושלים</PublicationProhibitedFullName>
      </CaseParties>
    </CasePartiesSelectionDS>
    <DecisionName>החלטה  שניתנה ע"י  אביגדור דורות</DecisionName>
    <CourtDisplayName>בית המשפט המחוזי בירושלים בשבתו כבית-משפט לעניינים מנהליים</CourtDisplayName>
    <IsCaseJudgePanel>false</IsCaseJudgePanel>
    <DecisionSignatureDate>2023-08-14T12:13:53.485024+03:00</DecisionSignatureDate>
    <OpenCaseDate>2020-09-13T07:00:00+03:00</OpenCaseDate>
    <CaseFeeSum>0.000</CaseFeeSum>
    <ExternalCaseNumber>.</ExternalCaseNumber>
    <DecisionTypeID>1</DecisionTypeID>
    <DecisionSignatureUserName>אביגדור דורות</DecisionSignatureUserName>
    <DecisionSignatureDateHebrew>2023-08-14T12:13:53.485024+03:00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אזרחי נ' מס שבח ירושלים</CaseName>
    <DecisionNumberInCase>2</DecisionNumberInCase>
  </dt_Decision>
  <dt_DecisionCase>
    <DecisionID>0</DecisionID>
    <CaseID>77711588</CaseID>
    <CaseJudicialPersonPresentationDS>
      <CaseJudicalPersonActive>
        <CaseID>77711588</CaseID>
        <JudicialPersonID>055121115@GOV.IL</JudicialPersonID>
        <JudicialPersonTypeID>1</JudicialPersonTypeID>
        <JudicialTypeID>1</JudicialTypeID>
        <IsChairman>false</IsChairman>
        <TreatmentStartDate>2020-09-15T09:36:58.81+03:00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מסייע</PartyTypeName>
        <ProceedingType>כתב טענות עיקרי</ProceedingType>
        <PleaName>כתב ערר</PleaName>
        <PartyBelonging> - </PartyBelonging>
        <RoleName>נציג ציבור - ועדות ערר</RoleName>
        <IsSubProceeding>FALSE</IsSubProceeding>
        <FullName>גבע בלטר</FullName>
        <FirstName>גבע</FirstName>
        <LastName>בלטר</LastName>
        <PartyPropertyName/>
        <AuthenticationTypeAndNumber>חבר ועדה 273</AuthenticationTypeAndNumber>
        <RepresentatedOrRepresentativesNames/>
        <RepresentatedOrRepresentativesCount>0</RepresentatedOrRepresentativesCount>
        <InvitedBy/>
        <CaseID>77711588</CaseID>
        <CaseJudicialPersonPresentationDS>
          <CaseJudicalPersonActive>
            <CaseID>77711588</CaseID>
            <JudicialPersonID>055121115@GOV.IL</JudicialPersonID>
            <JudicialPersonTypeID>1</JudicialPersonTypeID>
            <JudicialTypeID>1</JudicialTypeID>
            <IsChairman>false</IsChairman>
            <TreatmentStartDate>2020-09-15T09:36:58.81+03:00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233919551</CasePartyID>
        <PartyTypeID>3</PartyTypeID>
        <ActivityStatusID>1</ActivityStatusID>
        <LegalEntityID>79441557</LegalEntityID>
        <CaseLegalEntityID>117629910</CaseLegalEntityID>
        <AssistantRoleID>112</AssistantRoleID>
        <AuthenticationTypeID>39</AuthenticationTypeID>
        <AuthenticationTypeName>חבר ועדה</AuthenticationTypeName>
        <LegalEntityNumber>273</LegalEntityNumber>
        <IsMainPartyType>true</IsMainPartyType>
        <CaseDisplayIdentifier>28149-09-20</CaseDisplayIdentifier>
        <CaseTypeID>14</CaseTypeID>
        <CaseTypeName>ועדת ערר (ו"ע)</CaseTypeName>
        <CaseName>אזרחי נ' מס שבח ירושלים</CaseName>
        <FullAddress>. תל אביב -יפו </FullAddress>
        <EmailAddress>geva@gbalter.com</EmailAddress>
        <MotionID>0</MotionID>
        <CasePleaID>0</CasePleaID>
        <BirthDate>1955-01-01T00:00:00+02:00</BirthDate>
        <FatherName>ויקטור חיים</FatherName>
        <LinkedCaseID>0</LinkedCaseID>
        <PartyID>1</PartyID>
        <CasePartyCategoryID>2</CasePartyCategoryID>
        <LegalEntityAddressID>84671503</LegalEntityAddressID>
        <LegalEntityEmailAddressID>68097776</LegalEntityEmailAddressID>
        <PleaTypeID>18</PleaTypeID>
        <GroupPartyAlias/>
        <IsConverted>false</IsConverted>
        <LegalEntityNameID>90678448</LegalEntityNameID>
        <RepresentatedNamesOfAssistant/>
        <LegalEntityTypeID>10</LegalEntityTypeID>
        <IsVerdictExists>false</IsVerdictExists>
        <IsAsirAzir>false</IsAsirAzir>
        <IsPublicationProhibited>false</IsPublicationProhibited>
        <PublicationProhibitedFullName>גבע בלטר</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כוכבית נצח</FullName>
        <FirstName>כוכבית</FirstName>
        <LastName>נצח</LastName>
        <PartyPropertyName/>
        <AuthenticationTypeAndNumber>מ.ר. 16651</AuthenticationTypeAndNumber>
        <RepresentatedOrRepresentativesNames xml:space="preserve"> </RepresentatedOrRepresentativesNames>
        <RepresentatedOrRepresentativesCount>1</RepresentatedOrRepresentativesCount>
        <InvitedBy/>
        <CaseID>77711588</CaseID>
        <CaseJudicialPersonPresentationDS>
          <CaseJudicalPersonActive>
            <CaseID>77711588</CaseID>
            <JudicialPersonID>055121115@GOV.IL</JudicialPersonID>
            <JudicialPersonTypeID>1</JudicialPersonTypeID>
            <JudicialTypeID>1</JudicialTypeID>
            <IsChairman>false</IsChairman>
            <TreatmentStartDate>2020-09-15T09:36:58.81+03:00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216570213</CasePartyID>
        <PartyTypeID>2</PartyTypeID>
        <ActivityStatusID>1</ActivityStatusID>
        <PartyAliasID>23</PartyAliasID>
        <PartyAliasName>בא כוח משיבים</PartyAliasName>
        <LegalEntityID>397179</LegalEntityID>
        <CaseLegalEntityID>112416299</CaseLegalEntityID>
        <AuthenticationTypeID>4</AuthenticationTypeID>
        <AuthenticationTypeName>מ.ר.</AuthenticationTypeName>
        <LegalEntityNumber>16651</LegalEntityNumber>
        <IsMainPartyType>true</IsMainPartyType>
        <CaseDisplayIdentifier>28149-09-20</CaseDisplayIdentifier>
        <CaseTypeID>14</CaseTypeID>
        <CaseTypeName>ועדת ערר (ו"ע)</CaseTypeName>
        <CaseName>אזרחי נ' מס שבח ירושלים</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18</PleaTypeID>
        <LawyerOfficeName>פרקליטות מחוז ירושלים - אזרחי</LawyerOfficeName>
        <LawyerOfficeID>12740882</LawyerOfficeID>
        <GroupPartyAlias/>
        <IsConverted>false</IsConverted>
        <LegalEntityNameID>18163</LegalEntityNameID>
        <RepresentatedNamesOfAssistant/>
        <LegalEntityTypeID>4</LegalEntityTypeID>
        <IsVerdictExists>false</IsVerdictExists>
        <IsAsirAzir>false</IsAsirAzir>
        <IsPublicationProhibited>false</IsPublicationProhibited>
        <PublicationProhibitedFullName>כוכבית נצח</PublicationProhibitedFullName>
      </CaseParties>
      <CaseParties>
        <PartyTypeName>מסייע</PartyTypeName>
        <ProceedingType>כתב טענות עיקרי</ProceedingType>
        <PleaName>כתב ערר</PleaName>
        <PartyBelonging> - </PartyBelonging>
        <RoleName>נציג ציבור - ועדות ערר</RoleName>
        <IsSubProceeding>FALSE</IsSubProceeding>
        <FullName>נאוה סירקיס</FullName>
        <FirstName>נאוה רבקה</FirstName>
        <LastName>סירקיס</LastName>
        <PartyPropertyName/>
        <AuthenticationTypeAndNumber>ת"ז 051024479</AuthenticationTypeAndNumber>
        <RepresentatedOrRepresentativesNames/>
        <RepresentatedOrRepresentativesCount>0</RepresentatedOrRepresentativesCount>
        <InvitedBy/>
        <CaseID>77711588</CaseID>
        <CaseJudicialPersonPresentationDS>
          <CaseJudicalPersonActive>
            <CaseID>77711588</CaseID>
            <JudicialPersonID>055121115@GOV.IL</JudicialPersonID>
            <JudicialPersonTypeID>1</JudicialPersonTypeID>
            <JudicialTypeID>1</JudicialTypeID>
            <IsChairman>false</IsChairman>
            <TreatmentStartDate>2020-09-15T09:36:58.81+03:00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233950807</CasePartyID>
        <PartyTypeID>3</PartyTypeID>
        <ActivityStatusID>1</ActivityStatusID>
        <OrdinalNumber>1</OrdinalNumber>
        <LegalEntityID>46284734</LegalEntityID>
        <CaseLegalEntityID>117642094</CaseLegalEntityID>
        <AssistantRoleID>112</AssistantRoleID>
        <AuthenticationTypeID>1</AuthenticationTypeID>
        <AuthenticationTypeName>ת"ז</AuthenticationTypeName>
        <LegalEntityNumber>051024479</LegalEntityNumber>
        <IsMainPartyType>true</IsMainPartyType>
        <CaseDisplayIdentifier>28149-09-20</CaseDisplayIdentifier>
        <CaseTypeID>14</CaseTypeID>
        <CaseTypeName>ועדת ערר (ו"ע)</CaseTypeName>
        <CaseName>אזרחי נ' מס שבח ירושלים</CaseName>
        <FullAddress>.</FullAddress>
        <EmailAddress>navasir@bezeqint.net</EmailAddress>
        <MotionID>0</MotionID>
        <CasePleaID>0</CasePleaID>
        <FatherName>ישראל</FatherName>
        <LinkedCaseID>0</LinkedCaseID>
        <PartyID>1</PartyID>
        <CasePartyCategoryID>2</CasePartyCategoryID>
        <LegalEntityAddressID>85872345</LegalEntityAddressID>
        <LegalEntityEmailAddressID>68151694</LegalEntityEmailAddressID>
        <PleaTypeID>18</PleaTypeID>
        <GroupPartyAlias/>
        <IsConverted>false</IsConverted>
        <LegalEntityRegisteredNameID>9601571</LegalEntityRegisteredNameID>
        <LegalEntityNameID>92293382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נאוה סירקיס</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יצחק אזרחי</FullName>
        <FirstName>יצחק</FirstName>
        <LastName>אזרחי</LastName>
        <PartyPropertyName/>
        <AuthenticationTypeAndNumber>ת"ז 039683974</AuthenticationTypeAndNumber>
        <RepresentatedOrRepresentativesNames>חגי גרוס</RepresentatedOrRepresentativesNames>
        <RepresentatedOrRepresentativesCount>1</RepresentatedOrRepresentativesCount>
        <InvitedBy/>
        <CaseID>77711588</CaseID>
        <CaseJudicialPersonPresentationDS>
          <CaseJudicalPersonActive>
            <CaseID>77711588</CaseID>
            <JudicialPersonID>055121115@GOV.IL</JudicialPersonID>
            <JudicialPersonTypeID>1</JudicialPersonTypeID>
            <JudicialTypeID>1</JudicialTypeID>
            <IsChairman>false</IsChairman>
            <TreatmentStartDate>2020-09-15T09:36:58.81+03:00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216318692</CasePartyID>
        <PartyTypeID>1</PartyTypeID>
        <ActivityStatusID>1</ActivityStatusID>
        <PartyAliasID>16</PartyAliasID>
        <PartyAliasName>עורר</PartyAliasName>
        <OrdinalNumber>1</OrdinalNumber>
        <LegalEntityID>16623476</LegalEntityID>
        <CaseLegalEntityID>112344734</CaseLegalEntityID>
        <AuthenticationTypeID>1</AuthenticationTypeID>
        <AuthenticationTypeName>ת"ז</AuthenticationTypeName>
        <LegalEntityNumber>039683974</LegalEntityNumber>
        <IsMainPartyType>true</IsMainPartyType>
        <CaseDisplayIdentifier>28149-09-20</CaseDisplayIdentifier>
        <CaseTypeID>14</CaseTypeID>
        <CaseTypeName>ועדת ערר (ו"ע)</CaseTypeName>
        <CaseName>אזרחי נ' מס שבח ירושלים</CaseName>
        <FullAddress/>
        <MotionID>0</MotionID>
        <CasePleaID>0</CasePleaID>
        <FatherName>בן ציון</FatherName>
        <LinkedCaseID>0</LinkedCaseID>
        <PartyID>1</PartyID>
        <CasePartyCategoryID>2</CasePartyCategoryID>
        <PleaTypeID>18</PleaTypeID>
        <GroupPartyAlias>עוררים</GroupPartyAlias>
        <IsConverted>false</IsConverted>
        <LegalEntityRegisteredNameID>4324377</LegalEntityRegisteredNameID>
        <LegalEntityNameID>90193994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אזרחי</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חגי גרוס</FullName>
        <FirstName>חגי</FirstName>
        <LastName>גרוס</LastName>
        <PartyPropertyName/>
        <AuthenticationTypeAndNumber>מ.ר. 67151</AuthenticationTypeAndNumber>
        <RepresentatedOrRepresentativesNames>יצחק אזרחי</RepresentatedOrRepresentativesNames>
        <RepresentatedOrRepresentativesCount>1</RepresentatedOrRepresentativesCount>
        <InvitedBy/>
        <CaseID>77711588</CaseID>
        <CaseJudicialPersonPresentationDS>
          <CaseJudicalPersonActive>
            <CaseID>77711588</CaseID>
            <JudicialPersonID>055121115@GOV.IL</JudicialPersonID>
            <JudicialPersonTypeID>1</JudicialPersonTypeID>
            <JudicialTypeID>1</JudicialTypeID>
            <IsChairman>false</IsChairman>
            <TreatmentStartDate>2020-09-15T09:36:58.81+03:00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216318693</CasePartyID>
        <PartyTypeID>2</PartyTypeID>
        <ActivityStatusID>1</ActivityStatusID>
        <PartyAliasID>35</PartyAliasID>
        <PartyAliasName>בא כוח עוררים</PartyAliasName>
        <OrdinalNumber>1</OrdinalNumber>
        <LegalEntityID>75834320</LegalEntityID>
        <CaseLegalEntityID>112344735</CaseLegalEntityID>
        <AuthenticationTypeID>4</AuthenticationTypeID>
        <AuthenticationTypeName>מ.ר.</AuthenticationTypeName>
        <LegalEntityNumber>67151</LegalEntityNumber>
        <IsMainPartyType>true</IsMainPartyType>
        <CaseDisplayIdentifier>28149-09-20</CaseDisplayIdentifier>
        <CaseTypeID>14</CaseTypeID>
        <CaseTypeName>ועדת ערר (ו"ע)</CaseTypeName>
        <CaseName>אזרחי נ' מס שבח ירושלים</CaseName>
        <FullAddress/>
        <MotionID>0</MotionID>
        <CasePleaID>0</CasePleaID>
        <LinkedCaseID>0</LinkedCaseID>
        <PartyID>1</PartyID>
        <CasePartyCategoryID>2</CasePartyCategoryID>
        <PleaTypeID>18</PleaTypeID>
        <LawyerOfficeName>משרד עו"ד חגי גרוס</LawyerOfficeName>
        <LawyerOfficeID>75834321</LawyerOfficeID>
        <GroupPartyAlias/>
        <IsConverted>false</IsConverted>
        <LegalEntityNameID>82735655</LegalEntityNameID>
        <RepresentatedNamesOfAssistant/>
        <LegalEntityTypeID>4</LegalEntityTypeID>
        <IsVerdictExists>false</IsVerdictExists>
        <IsAsirAzir>false</IsAsirAzir>
        <IsPublicationProhibited>false</IsPublicationProhibited>
        <PublicationProhibitedFullName>חגי גרוס</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מס שבח ירושלים</FullName>
        <LastName>מס שבח ירושלים</LastName>
        <PartyPropertyName/>
        <AuthenticationTypeAndNumber>גופים על פי דין 513436312</AuthenticationTypeAndNumber>
        <RepresentatedOrRepresentativesNames>כוכבית נצח</RepresentatedOrRepresentativesNames>
        <RepresentatedOrRepresentativesCount>1</RepresentatedOrRepresentativesCount>
        <InvitedBy/>
        <CaseID>77711588</CaseID>
        <CaseJudicialPersonPresentationDS>
          <CaseJudicalPersonActive>
            <CaseID>77711588</CaseID>
            <JudicialPersonID>055121115@GOV.IL</JudicialPersonID>
            <JudicialPersonTypeID>1</JudicialPersonTypeID>
            <JudicialTypeID>1</JudicialTypeID>
            <IsChairman>false</IsChairman>
            <TreatmentStartDate>2020-09-15T09:36:58.81+03:00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216318695</CasePartyID>
        <PartyTypeID>1</PartyTypeID>
        <ActivityStatusID>1</ActivityStatusID>
        <PartyAliasID>4</PartyAliasID>
        <PartyAliasName>משיב</PartyAliasName>
        <OrdinalNumber>1</OrdinalNumber>
        <LegalEntityID>15868161</LegalEntityID>
        <CaseLegalEntityID>112344736</CaseLegalEntityID>
        <AuthenticationTypeID>17</AuthenticationTypeID>
        <AuthenticationTypeName>גופים על פי דין</AuthenticationTypeName>
        <LegalEntityNumber>513436312</LegalEntityNumber>
        <IsMainPartyType>true</IsMainPartyType>
        <CaseDisplayIdentifier>28149-09-20</CaseDisplayIdentifier>
        <CaseTypeID>14</CaseTypeID>
        <CaseTypeName>ועדת ערר (ו"ע)</CaseTypeName>
        <CaseName>אזרחי נ' מס שבח ירושלים</CaseName>
        <FullAddress>כנפי נשרים 66 ירושלים סניף גבעת שאול</FullAddress>
        <MotionID>0</MotionID>
        <CasePleaID>0</CasePleaID>
        <LinkedCaseID>0</LinkedCaseID>
        <PartyID>2</PartyID>
        <CasePartyCategoryID>2</CasePartyCategoryID>
        <LegalEntityAddressID>16132217</LegalEntityAddressID>
        <PleaTypeID>18</PleaTypeID>
        <GroupPartyAlias>משיבים</GroupPartyAlias>
        <IsConverted>false</IsConverted>
        <LegalEntityRegisteredNameID>1722105</LegalEntityRegisteredNameID>
        <RepresentatedNamesOfAssistant/>
        <LegalEntityTypeID>3</LegalEntityTypeID>
        <IsVerdictExists>false</IsVerdictExists>
        <IsAsirAzir>false</IsAsirAzir>
        <IsPublicationProhibited>false</IsPublicationProhibited>
        <PublicationProhibitedFullName>מס שבח ירושלים</PublicationProhibitedFullName>
      </CaseParties>
    </CasePartiesSelectionDS>
    <CaseName>אזרחי נ' מס שבח ירושלים</CaseName>
    <CaseDisplayIdentifier>28149-09-20</CaseDisplayIdentifier>
    <CaseInterestID>28</CaseInterestID>
    <CaseTypeShortName>ו"ע</CaseTypeShortName>
  </dt_DecisionCase>
  <dt_DecisionJudgePanel>
    <JudgeID>055121115@GOV.IL</JudgeID>
    <DisplayName>אביגדור דורות</DisplayName>
    <RoleName>שופט</RoleName>
    <UserTitleName>שופט</UserTitleName>
  </dt_DecisionJudgePanel>
  <dt_LegalEntityDetails>
    <Fax>02-5419581</Fax>
    <Phone>02-5419555</Phone>
    <PartyID>2</PartyID>
    <PartyTypeID>2</PartyTypeID>
    <DecisionID>0</DecisionID>
    <StreetName>מח"ל 7</StreetName>
    <CityName>ירושלים</CityName>
    <FullName>כוכבית נצח</FullName>
    <Email>Ez-jer@justice.gov.il</Email>
    <IsPublicationProhibited>false</IsPublicationProhibited>
  </dt_LegalEntityDetails>
  <dt_LegalEntityDetails>
    <Fax/>
    <Phone/>
    <AddressDesc/>
    <PartyID>1</PartyID>
    <PartyTypeID>3</PartyTypeID>
    <DecisionID>0</DecisionID>
    <AssistantRoleID>112</AssistantRoleID>
    <StreetName>.</StreetName>
    <CityName>תל אביב -יפו</CityName>
    <FullName>גבע בלטר</FullName>
    <Email>geva@gbalter.com</Email>
    <IsPublicationProhibited>false</IsPublicationProhibited>
  </dt_LegalEntityDetails>
  <dt_LegalEntityDetails>
    <PartyID>1</PartyID>
    <PartyTypeID>1</PartyTypeID>
    <DecisionID>0</DecisionID>
    <FullName>יצחק אזרחי</FullName>
    <IsPublicationProhibited>false</IsPublicationProhibited>
  </dt_LegalEntityDetails>
  <dt_LegalEntityDetails>
    <PartyID>1</PartyID>
    <PartyTypeID>2</PartyTypeID>
    <DecisionID>0</DecisionID>
    <FullName>חגי גרוס</FullName>
    <IsPublicationProhibited>false</IsPublicationProhibited>
  </dt_LegalEntityDetails>
  <dt_LegalEntityDetails>
    <AddressDesc>סניף גבעת שאול</AddressDesc>
    <PartyID>2</PartyID>
    <PartyTypeID>1</PartyTypeID>
    <DecisionID>0</DecisionID>
    <StreetName>כנפי נשרים 66</StreetName>
    <CityName>ירושלים</CityName>
    <FullName> מס שבח ירושלים</FullName>
    <IsPublicationProhibited>false</IsPublicationProhibited>
  </dt_LegalEntityDetails>
  <dt_LegalEntityDetails>
    <Fax/>
    <Phone/>
    <AddressDesc>.</AddressDesc>
    <PartyID>1</PartyID>
    <PartyTypeID>3</PartyTypeID>
    <DecisionID>0</DecisionID>
    <AssistantRoleID>112</AssistantRoleID>
    <StreetName/>
    <CityName/>
    <FullName>נאוה סירקיס</FullName>
    <Email>navasir@bezeqint.net</Email>
    <IsPublicationProhibited>false</IsPublicationProhibited>
  </dt_LegalEntityDetails>
  <dt_CaseJudicalPersonActive>
    <CaseJudicalPerson>שופט אביגדור דורות</CaseJudicalPerson>
  </dt_CaseJudicalPersonActive>
  <dt_Sitting>
    <PreviousMeetingDate>2022-04-07T09:30:00+03:00</PreviousMeetingDate>
    <PreviousSittingTypeID>2</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Props1.xml><?xml version="1.0" encoding="utf-8"?>
<ds:datastoreItem xmlns:ds="http://schemas.openxmlformats.org/officeDocument/2006/customXml" ds:itemID="{2AEFB6B9-6082-4995-8761-8178C861414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3322</Words>
  <Characters>16613</Characters>
  <Application>Microsoft Office Word</Application>
  <DocSecurity>0</DocSecurity>
  <Lines>138</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2023-08-15T08:12:00Z</cp:lastPrinted>
  <dcterms:created xsi:type="dcterms:W3CDTF">2023-08-27T11:27:00Z</dcterms:created>
  <dcterms:modified xsi:type="dcterms:W3CDTF">2023-08-27T11:27:00Z</dcterms:modified>
</cp:coreProperties>
</file>